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78467F71"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F22C63">
        <w:rPr>
          <w:b/>
          <w:sz w:val="24"/>
          <w:szCs w:val="24"/>
        </w:rPr>
        <w:t>#9</w:t>
      </w:r>
      <w:r w:rsidR="00D06622">
        <w:rPr>
          <w:b/>
          <w:sz w:val="24"/>
          <w:szCs w:val="24"/>
        </w:rPr>
        <w:t>7</w:t>
      </w:r>
      <w:r w:rsidRPr="0007631D">
        <w:rPr>
          <w:b/>
          <w:sz w:val="24"/>
          <w:szCs w:val="24"/>
        </w:rPr>
        <w:tab/>
        <w:t>R1-</w:t>
      </w:r>
      <w:r w:rsidR="00313B45">
        <w:rPr>
          <w:b/>
          <w:sz w:val="24"/>
          <w:szCs w:val="24"/>
        </w:rPr>
        <w:t>1</w:t>
      </w:r>
      <w:r w:rsidR="00E617A8">
        <w:rPr>
          <w:b/>
          <w:sz w:val="24"/>
          <w:szCs w:val="24"/>
        </w:rPr>
        <w:t>9</w:t>
      </w:r>
      <w:r w:rsidR="00DB32CA">
        <w:rPr>
          <w:b/>
          <w:sz w:val="24"/>
          <w:szCs w:val="24"/>
        </w:rPr>
        <w:t>07284</w:t>
      </w:r>
    </w:p>
    <w:p w14:paraId="4405AC25" w14:textId="11E112AB" w:rsidR="00433B47" w:rsidRPr="0007631D" w:rsidRDefault="00D06622" w:rsidP="00433B47">
      <w:pPr>
        <w:tabs>
          <w:tab w:val="center" w:pos="4536"/>
          <w:tab w:val="right" w:pos="9072"/>
        </w:tabs>
        <w:spacing w:after="0"/>
        <w:rPr>
          <w:rFonts w:eastAsia="MS Mincho"/>
          <w:b/>
          <w:bCs/>
          <w:sz w:val="24"/>
          <w:szCs w:val="24"/>
          <w:lang w:eastAsia="ja-JP"/>
        </w:rPr>
      </w:pPr>
      <w:r>
        <w:rPr>
          <w:b/>
          <w:bCs/>
          <w:sz w:val="24"/>
          <w:szCs w:val="24"/>
        </w:rPr>
        <w:t>May</w:t>
      </w:r>
      <w:r w:rsidR="00F22C63">
        <w:rPr>
          <w:b/>
          <w:bCs/>
          <w:sz w:val="24"/>
          <w:szCs w:val="24"/>
        </w:rPr>
        <w:t xml:space="preserve"> </w:t>
      </w:r>
      <w:r>
        <w:rPr>
          <w:b/>
          <w:bCs/>
          <w:sz w:val="24"/>
          <w:szCs w:val="24"/>
        </w:rPr>
        <w:t>13</w:t>
      </w:r>
      <w:r w:rsidR="00F22C63">
        <w:rPr>
          <w:b/>
          <w:bCs/>
          <w:sz w:val="24"/>
          <w:szCs w:val="24"/>
          <w:vertAlign w:val="superscript"/>
        </w:rPr>
        <w:t>th</w:t>
      </w:r>
      <w:r w:rsidR="005925C1">
        <w:rPr>
          <w:b/>
          <w:bCs/>
          <w:sz w:val="24"/>
          <w:szCs w:val="24"/>
        </w:rPr>
        <w:t xml:space="preserve"> – </w:t>
      </w:r>
      <w:r w:rsidR="003F1FFF">
        <w:rPr>
          <w:b/>
          <w:bCs/>
          <w:sz w:val="24"/>
          <w:szCs w:val="24"/>
        </w:rPr>
        <w:t>1</w:t>
      </w:r>
      <w:r>
        <w:rPr>
          <w:b/>
          <w:bCs/>
          <w:sz w:val="24"/>
          <w:szCs w:val="24"/>
        </w:rPr>
        <w:t>7</w:t>
      </w:r>
      <w:r w:rsidR="003F1FFF" w:rsidRPr="003F1FFF">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34610B38" w:rsidR="00433B47" w:rsidRPr="0007631D" w:rsidRDefault="00D06622" w:rsidP="00433B47">
      <w:pPr>
        <w:spacing w:after="0"/>
        <w:jc w:val="both"/>
        <w:rPr>
          <w:b/>
          <w:sz w:val="24"/>
          <w:szCs w:val="24"/>
          <w:lang w:eastAsia="zh-CN"/>
        </w:rPr>
      </w:pPr>
      <w:r>
        <w:rPr>
          <w:b/>
          <w:sz w:val="24"/>
          <w:szCs w:val="24"/>
        </w:rPr>
        <w:t>Reno</w:t>
      </w:r>
      <w:r w:rsidR="00B81D1D">
        <w:rPr>
          <w:b/>
          <w:sz w:val="24"/>
          <w:szCs w:val="24"/>
        </w:rPr>
        <w:t xml:space="preserve">, </w:t>
      </w:r>
      <w:r>
        <w:rPr>
          <w:b/>
          <w:sz w:val="24"/>
          <w:szCs w:val="24"/>
        </w:rPr>
        <w:t>Nevada, U.S.A.</w:t>
      </w:r>
    </w:p>
    <w:p w14:paraId="0FF7EEB0" w14:textId="77777777" w:rsidR="00F15C93" w:rsidRPr="0007631D" w:rsidRDefault="00F15C93" w:rsidP="00F15C93">
      <w:pPr>
        <w:pStyle w:val="Footer"/>
        <w:jc w:val="both"/>
        <w:rPr>
          <w:rFonts w:ascii="Times New Roman" w:hAnsi="Times New Roman"/>
          <w:i w:val="0"/>
          <w:noProof w:val="0"/>
        </w:rPr>
      </w:pPr>
    </w:p>
    <w:p w14:paraId="358C9AA6" w14:textId="678D2B1C"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625661">
        <w:rPr>
          <w:b/>
          <w:sz w:val="24"/>
        </w:rPr>
        <w:t>6</w:t>
      </w:r>
      <w:r w:rsidR="002807C4">
        <w:rPr>
          <w:b/>
          <w:sz w:val="24"/>
        </w:rPr>
        <w:t>.</w:t>
      </w:r>
      <w:r w:rsidR="00625661">
        <w:rPr>
          <w:b/>
          <w:sz w:val="24"/>
        </w:rPr>
        <w:t>4</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B8E3057"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625661">
        <w:rPr>
          <w:sz w:val="24"/>
        </w:rPr>
        <w:t xml:space="preserve">Enhancements </w:t>
      </w:r>
      <w:r w:rsidR="003F1FFF">
        <w:rPr>
          <w:sz w:val="24"/>
        </w:rPr>
        <w:t xml:space="preserve">to Scheduling and HARQ </w:t>
      </w:r>
      <w:r w:rsidR="00625661">
        <w:rPr>
          <w:sz w:val="24"/>
        </w:rPr>
        <w:t xml:space="preserve">for </w:t>
      </w:r>
      <w:proofErr w:type="spellStart"/>
      <w:r w:rsidR="00625661">
        <w:rPr>
          <w:sz w:val="24"/>
        </w:rPr>
        <w:t>eURLLC</w:t>
      </w:r>
      <w:proofErr w:type="spellEnd"/>
      <w:r w:rsidR="002807C4">
        <w:rPr>
          <w:sz w:val="24"/>
        </w:rPr>
        <w:t xml:space="preserve">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0BF0F92F" w14:textId="0204A44B" w:rsidR="00721265" w:rsidRPr="008222A2" w:rsidRDefault="00721265" w:rsidP="00721265">
      <w:pPr>
        <w:tabs>
          <w:tab w:val="num" w:pos="2160"/>
          <w:tab w:val="num" w:pos="2880"/>
        </w:tabs>
        <w:jc w:val="both"/>
        <w:rPr>
          <w:rFonts w:asciiTheme="majorBidi" w:hAnsiTheme="majorBidi" w:cstheme="majorBidi"/>
          <w:bCs/>
          <w:iCs/>
        </w:rPr>
      </w:pPr>
      <w:r w:rsidRPr="008222A2">
        <w:rPr>
          <w:rFonts w:asciiTheme="majorBidi" w:hAnsiTheme="majorBidi" w:cstheme="majorBidi"/>
          <w:bCs/>
          <w:iCs/>
        </w:rPr>
        <w:t>In RANP #83, a new work item on physical layer enhancements for NR URLLC is approved [1]. One of the objectives of this work item is to specify the schemes which allow for supporting out-of-order downlink HARQ and downlink/uplink scheduling:</w:t>
      </w:r>
    </w:p>
    <w:p w14:paraId="035FC7B3" w14:textId="77777777" w:rsidR="00721265" w:rsidRPr="008222A2" w:rsidRDefault="00721265" w:rsidP="00721265">
      <w:pPr>
        <w:numPr>
          <w:ilvl w:val="0"/>
          <w:numId w:val="28"/>
        </w:numPr>
        <w:tabs>
          <w:tab w:val="num" w:pos="709"/>
          <w:tab w:val="num" w:pos="2160"/>
        </w:tabs>
        <w:spacing w:after="0"/>
        <w:jc w:val="both"/>
        <w:rPr>
          <w:bCs/>
        </w:rPr>
      </w:pPr>
      <w:r w:rsidRPr="008222A2">
        <w:rPr>
          <w:bCs/>
        </w:rPr>
        <w:t xml:space="preserve">Specification of </w:t>
      </w:r>
      <w:bookmarkStart w:id="2" w:name="OLE_LINK1"/>
      <w:r w:rsidRPr="008222A2">
        <w:rPr>
          <w:bCs/>
        </w:rPr>
        <w:t>enhancements to scheduling/HARQ</w:t>
      </w:r>
      <w:bookmarkEnd w:id="2"/>
      <w:r w:rsidRPr="008222A2">
        <w:rPr>
          <w:bCs/>
        </w:rPr>
        <w:t xml:space="preserve"> [RAN1]</w:t>
      </w:r>
    </w:p>
    <w:p w14:paraId="0C7CDC4C" w14:textId="77777777" w:rsidR="00721265" w:rsidRPr="008222A2" w:rsidRDefault="00721265" w:rsidP="00721265">
      <w:pPr>
        <w:numPr>
          <w:ilvl w:val="1"/>
          <w:numId w:val="28"/>
        </w:numPr>
        <w:spacing w:after="0"/>
        <w:jc w:val="both"/>
        <w:rPr>
          <w:bCs/>
        </w:rPr>
      </w:pPr>
      <w:r w:rsidRPr="008222A2">
        <w:rPr>
          <w:rFonts w:hint="eastAsia"/>
          <w:bCs/>
          <w:lang w:eastAsia="zh-CN"/>
        </w:rPr>
        <w:t>O</w:t>
      </w:r>
      <w:r w:rsidRPr="008222A2">
        <w:rPr>
          <w:lang w:eastAsia="ja-JP"/>
        </w:rPr>
        <w:t>ut-of-order HARQ-ACK associated with PDSCHs with different HARQ process IDs</w:t>
      </w:r>
    </w:p>
    <w:p w14:paraId="2D1C00EA" w14:textId="77777777" w:rsidR="00721265" w:rsidRPr="008222A2" w:rsidRDefault="00721265" w:rsidP="00721265">
      <w:pPr>
        <w:numPr>
          <w:ilvl w:val="1"/>
          <w:numId w:val="28"/>
        </w:numPr>
        <w:spacing w:after="0"/>
        <w:jc w:val="both"/>
        <w:rPr>
          <w:bCs/>
        </w:rPr>
      </w:pPr>
      <w:r w:rsidRPr="008222A2">
        <w:rPr>
          <w:bCs/>
          <w:lang w:eastAsia="zh-CN"/>
        </w:rPr>
        <w:t>Out</w:t>
      </w:r>
      <w:r w:rsidRPr="008222A2">
        <w:rPr>
          <w:lang w:eastAsia="ja-JP"/>
        </w:rPr>
        <w:t>-of-order PUSCH scheduling associated with different HARQ process IDs, including overlapping PUSCHs and non-overlapping PUSCHs in time-domain</w:t>
      </w:r>
    </w:p>
    <w:p w14:paraId="265BD86B" w14:textId="77777777" w:rsidR="00721265" w:rsidRPr="008222A2" w:rsidRDefault="00721265" w:rsidP="00721265">
      <w:pPr>
        <w:numPr>
          <w:ilvl w:val="1"/>
          <w:numId w:val="28"/>
        </w:numPr>
        <w:spacing w:after="0"/>
        <w:jc w:val="both"/>
        <w:rPr>
          <w:bCs/>
        </w:rPr>
      </w:pPr>
      <w:r w:rsidRPr="008222A2">
        <w:rPr>
          <w:lang w:eastAsia="ja-JP"/>
        </w:rPr>
        <w:t xml:space="preserve">Methods to handle DL data/data resource conflicts for overlapping PDSCHs in time-domain, scheduled by dynamic DL assignments </w:t>
      </w:r>
    </w:p>
    <w:p w14:paraId="426C8150" w14:textId="18EE330E" w:rsidR="00721265" w:rsidRPr="008222A2" w:rsidRDefault="00721265" w:rsidP="00FB10F0">
      <w:pPr>
        <w:jc w:val="both"/>
        <w:rPr>
          <w:rFonts w:asciiTheme="majorBidi" w:hAnsiTheme="majorBidi" w:cstheme="majorBidi"/>
          <w:bCs/>
          <w:iCs/>
        </w:rPr>
      </w:pPr>
    </w:p>
    <w:p w14:paraId="0529543D" w14:textId="0F8196FC" w:rsidR="00721265" w:rsidRPr="008222A2" w:rsidRDefault="00721265" w:rsidP="00FB10F0">
      <w:pPr>
        <w:jc w:val="both"/>
        <w:rPr>
          <w:rFonts w:asciiTheme="majorBidi" w:hAnsiTheme="majorBidi" w:cstheme="majorBidi"/>
          <w:bCs/>
          <w:iCs/>
        </w:rPr>
      </w:pPr>
      <w:r w:rsidRPr="008222A2">
        <w:rPr>
          <w:rFonts w:asciiTheme="majorBidi" w:hAnsiTheme="majorBidi" w:cstheme="majorBidi"/>
          <w:bCs/>
          <w:iCs/>
        </w:rPr>
        <w:t xml:space="preserve">Regarding the out-of-order HARQ and uplink scheduling, RAN1 has so far reached the following agreements: </w:t>
      </w:r>
    </w:p>
    <w:p w14:paraId="3C5329AD" w14:textId="77777777" w:rsidR="009F1563" w:rsidRPr="008222A2" w:rsidRDefault="009F1563" w:rsidP="009F1563">
      <w:pPr>
        <w:rPr>
          <w:b/>
          <w:u w:val="single"/>
          <w:lang w:eastAsia="x-none"/>
        </w:rPr>
      </w:pPr>
      <w:r w:rsidRPr="008222A2">
        <w:rPr>
          <w:b/>
          <w:highlight w:val="green"/>
          <w:u w:val="single"/>
          <w:lang w:eastAsia="x-none"/>
        </w:rPr>
        <w:t>Agreements:</w:t>
      </w:r>
    </w:p>
    <w:p w14:paraId="5D72AFE2" w14:textId="77777777" w:rsidR="009F1563" w:rsidRPr="008222A2" w:rsidRDefault="009F1563" w:rsidP="009F1563">
      <w:pPr>
        <w:spacing w:after="160" w:line="252" w:lineRule="auto"/>
        <w:jc w:val="both"/>
        <w:rPr>
          <w:rFonts w:eastAsia="Times New Roman"/>
          <w:bCs/>
          <w:i/>
          <w:iCs/>
        </w:rPr>
      </w:pPr>
      <w:r w:rsidRPr="008222A2">
        <w:rPr>
          <w:rFonts w:eastAsia="Times New Roman"/>
          <w:bCs/>
          <w:i/>
          <w:iCs/>
        </w:rPr>
        <w:t xml:space="preserve">For a Rel. 16 </w:t>
      </w:r>
      <w:proofErr w:type="spellStart"/>
      <w:r w:rsidRPr="008222A2">
        <w:rPr>
          <w:rFonts w:eastAsia="Times New Roman"/>
          <w:bCs/>
          <w:i/>
          <w:iCs/>
        </w:rPr>
        <w:t>eURLLC</w:t>
      </w:r>
      <w:proofErr w:type="spellEnd"/>
      <w:r w:rsidRPr="008222A2">
        <w:rPr>
          <w:rFonts w:eastAsia="Times New Roman"/>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8222A2">
        <w:rPr>
          <w:rFonts w:eastAsia="Times New Roman"/>
          <w:bCs/>
          <w:i/>
          <w:iCs/>
        </w:rPr>
        <w:t>x !</w:t>
      </w:r>
      <w:proofErr w:type="gramEnd"/>
      <w:r w:rsidRPr="008222A2">
        <w:rPr>
          <w:rFonts w:eastAsia="Times New Roman"/>
          <w:bCs/>
          <w:i/>
          <w:iCs/>
        </w:rPr>
        <w:t>= y) can be sent before the HARQ-ACK of the first PDSCH. Specify based on the following solutions:</w:t>
      </w:r>
    </w:p>
    <w:p w14:paraId="13D2495F" w14:textId="77777777" w:rsidR="009F1563" w:rsidRPr="008222A2" w:rsidRDefault="009F1563" w:rsidP="009F1563">
      <w:pPr>
        <w:pStyle w:val="ListParagraph"/>
        <w:numPr>
          <w:ilvl w:val="0"/>
          <w:numId w:val="29"/>
        </w:numPr>
        <w:spacing w:after="160" w:line="252" w:lineRule="auto"/>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Solution 1: The UE always processes the second PDSCH. The UE may or may not drop the processing of the first channel.</w:t>
      </w:r>
    </w:p>
    <w:p w14:paraId="055573F1"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and second PDSCHs as a UE capability with no condition.</w:t>
      </w:r>
    </w:p>
    <w:p w14:paraId="3A4DA165"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4F35660C"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4E98C9B4" w14:textId="77777777" w:rsidR="009F1563" w:rsidRPr="008222A2" w:rsidRDefault="009F1563" w:rsidP="009F1563">
      <w:pPr>
        <w:numPr>
          <w:ilvl w:val="0"/>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567ED515" w14:textId="77777777" w:rsidR="009F1563" w:rsidRPr="008222A2" w:rsidRDefault="009F1563" w:rsidP="009F1563">
      <w:pPr>
        <w:numPr>
          <w:ilvl w:val="1"/>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PDSCH.</w:t>
      </w:r>
    </w:p>
    <w:p w14:paraId="5AC16689"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PDSCH.</w:t>
      </w:r>
    </w:p>
    <w:p w14:paraId="488782CA"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channel.</w:t>
      </w:r>
    </w:p>
    <w:p w14:paraId="11B1643D" w14:textId="77777777" w:rsidR="009F1563" w:rsidRPr="008222A2" w:rsidRDefault="009F1563" w:rsidP="009F1563">
      <w:pPr>
        <w:numPr>
          <w:ilvl w:val="2"/>
          <w:numId w:val="29"/>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second PDSCHs, the gap between the two PUCCHs carrying HARQ-ACK, etc.</w:t>
      </w:r>
    </w:p>
    <w:p w14:paraId="5D5F3E5E"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lastRenderedPageBreak/>
        <w:t xml:space="preserve">The UE behavior, e.g., decision on dropping the first channel and timing capability associated with the second channel, is determined, and is fixed, after decoding the PDCCH associated with the first and the second PDSCH. </w:t>
      </w:r>
    </w:p>
    <w:p w14:paraId="29E87D8F"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When the UE drops the processing of the first channel, increasing the minimum PDSCH processing procedure time (N1) of the second PDSCH by d symbols can be considered.</w:t>
      </w:r>
    </w:p>
    <w:p w14:paraId="5B850A31"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1EF7A653" w14:textId="77777777" w:rsidR="009F1563" w:rsidRPr="008222A2" w:rsidRDefault="009F1563" w:rsidP="009F1563">
      <w:pPr>
        <w:numPr>
          <w:ilvl w:val="0"/>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Dropping the processing of the first PDSCH can be done in one of the two ways:</w:t>
      </w:r>
    </w:p>
    <w:p w14:paraId="390A7CD7" w14:textId="77777777"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Alt1: dropping the processing of the first PDSCH on the same serving cell </w:t>
      </w:r>
    </w:p>
    <w:p w14:paraId="722A6584" w14:textId="09D4854C" w:rsidR="009F1563" w:rsidRPr="008222A2" w:rsidRDefault="009F1563" w:rsidP="009F1563">
      <w:pPr>
        <w:numPr>
          <w:ilvl w:val="1"/>
          <w:numId w:val="30"/>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dropping the processing of a PDSCH(s) on the same cell or a different serving cell.</w:t>
      </w:r>
    </w:p>
    <w:p w14:paraId="5F8561C7" w14:textId="77777777" w:rsidR="009F1563" w:rsidRPr="008222A2" w:rsidRDefault="009F1563" w:rsidP="009F1563">
      <w:pPr>
        <w:numPr>
          <w:ilvl w:val="0"/>
          <w:numId w:val="32"/>
        </w:numPr>
        <w:overflowPunct/>
        <w:autoSpaceDE/>
        <w:autoSpaceDN/>
        <w:adjustRightInd/>
        <w:spacing w:after="160" w:line="252" w:lineRule="auto"/>
        <w:jc w:val="both"/>
        <w:textAlignment w:val="auto"/>
        <w:rPr>
          <w:rFonts w:eastAsia="Times New Roman"/>
          <w:i/>
        </w:rPr>
      </w:pPr>
      <w:r w:rsidRPr="008222A2">
        <w:rPr>
          <w:rFonts w:eastAsia="Times New Roman"/>
          <w:i/>
        </w:rPr>
        <w:t xml:space="preserve">The UE </w:t>
      </w:r>
      <w:r w:rsidRPr="008222A2">
        <w:rPr>
          <w:i/>
        </w:rPr>
        <w:t>only expects a maximum of one OOO PDSCH-to-HARQ-ACK flow on the active BWP of a given serving cell when applicable</w:t>
      </w:r>
    </w:p>
    <w:p w14:paraId="1B04EDA1" w14:textId="77777777" w:rsidR="009F1563" w:rsidRPr="008222A2" w:rsidRDefault="009F1563" w:rsidP="009F1563">
      <w:pPr>
        <w:pStyle w:val="ListParagraph"/>
        <w:numPr>
          <w:ilvl w:val="0"/>
          <w:numId w:val="32"/>
        </w:numPr>
        <w:spacing w:after="160" w:line="252" w:lineRule="auto"/>
        <w:contextualSpacing/>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 xml:space="preserve">FFS </w:t>
      </w:r>
      <w:proofErr w:type="gramStart"/>
      <w:r w:rsidRPr="008222A2">
        <w:rPr>
          <w:rFonts w:ascii="Times New Roman" w:eastAsia="Times New Roman" w:hAnsi="Times New Roman"/>
          <w:bCs/>
          <w:i/>
          <w:iCs/>
          <w:sz w:val="20"/>
          <w:szCs w:val="20"/>
        </w:rPr>
        <w:t>whether or not</w:t>
      </w:r>
      <w:proofErr w:type="gramEnd"/>
      <w:r w:rsidRPr="008222A2">
        <w:rPr>
          <w:rFonts w:ascii="Times New Roman" w:eastAsia="Times New Roman" w:hAnsi="Times New Roman"/>
          <w:bCs/>
          <w:i/>
          <w:iCs/>
          <w:sz w:val="20"/>
          <w:szCs w:val="20"/>
        </w:rPr>
        <w:t>, out-of-order operation is allowed across PDSCHs with PDSCH-to-HARQ gap compatible with PDSCH processing time (N1) for capability X.</w:t>
      </w:r>
    </w:p>
    <w:p w14:paraId="065ADC82" w14:textId="77777777" w:rsidR="00925682" w:rsidRPr="008222A2" w:rsidRDefault="00925682" w:rsidP="00925682">
      <w:pPr>
        <w:rPr>
          <w:b/>
          <w:u w:val="single"/>
          <w:lang w:eastAsia="x-none"/>
        </w:rPr>
      </w:pPr>
      <w:r w:rsidRPr="008222A2">
        <w:rPr>
          <w:b/>
          <w:highlight w:val="green"/>
          <w:u w:val="single"/>
          <w:lang w:eastAsia="x-none"/>
        </w:rPr>
        <w:t>Agreements:</w:t>
      </w:r>
    </w:p>
    <w:p w14:paraId="66CA17A1" w14:textId="77777777" w:rsidR="00925682" w:rsidRPr="008222A2" w:rsidRDefault="00925682" w:rsidP="00925682">
      <w:pPr>
        <w:spacing w:after="160" w:line="252" w:lineRule="auto"/>
        <w:jc w:val="both"/>
        <w:rPr>
          <w:rFonts w:eastAsia="Times New Roman"/>
          <w:bCs/>
          <w:i/>
          <w:iCs/>
        </w:rPr>
      </w:pPr>
      <w:r w:rsidRPr="008222A2">
        <w:rPr>
          <w:rFonts w:eastAsia="Times New Roman"/>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8222A2">
        <w:rPr>
          <w:rFonts w:eastAsia="Times New Roman"/>
          <w:bCs/>
          <w:i/>
          <w:iCs/>
        </w:rPr>
        <w:t>x !</w:t>
      </w:r>
      <w:proofErr w:type="gramEnd"/>
      <w:r w:rsidRPr="008222A2">
        <w:rPr>
          <w:rFonts w:eastAsia="Times New Roman"/>
          <w:bCs/>
          <w:i/>
          <w:iCs/>
        </w:rPr>
        <w:t>= y) with a PDCCH that does not end earlier than the ending symbol of first scheduling PDCCH.  Specify based on the following solutions:</w:t>
      </w:r>
    </w:p>
    <w:p w14:paraId="71F9625D" w14:textId="77777777" w:rsidR="00925682" w:rsidRPr="008222A2" w:rsidRDefault="00925682" w:rsidP="00925682">
      <w:pPr>
        <w:pStyle w:val="ListParagraph"/>
        <w:numPr>
          <w:ilvl w:val="0"/>
          <w:numId w:val="33"/>
        </w:numPr>
        <w:spacing w:after="160" w:line="252" w:lineRule="auto"/>
        <w:ind w:left="990"/>
        <w:jc w:val="both"/>
        <w:rPr>
          <w:rFonts w:ascii="Times New Roman" w:eastAsia="Times New Roman" w:hAnsi="Times New Roman"/>
          <w:bCs/>
          <w:i/>
          <w:iCs/>
          <w:sz w:val="20"/>
          <w:szCs w:val="20"/>
        </w:rPr>
      </w:pPr>
      <w:r w:rsidRPr="008222A2">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8222A2">
        <w:rPr>
          <w:rFonts w:ascii="Times New Roman" w:eastAsia="Times New Roman" w:hAnsi="Times New Roman"/>
          <w:bCs/>
          <w:i/>
          <w:iCs/>
          <w:sz w:val="20"/>
          <w:szCs w:val="20"/>
        </w:rPr>
        <w:t>schedeuled</w:t>
      </w:r>
      <w:proofErr w:type="spellEnd"/>
      <w:r w:rsidRPr="008222A2">
        <w:rPr>
          <w:rFonts w:ascii="Times New Roman" w:eastAsia="Times New Roman" w:hAnsi="Times New Roman"/>
          <w:bCs/>
          <w:i/>
          <w:iCs/>
          <w:sz w:val="20"/>
          <w:szCs w:val="20"/>
        </w:rPr>
        <w:t xml:space="preserve"> PUSCH.</w:t>
      </w:r>
    </w:p>
    <w:p w14:paraId="073F72B0"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bCs/>
          <w:i/>
          <w:iCs/>
        </w:rPr>
      </w:pPr>
      <w:r w:rsidRPr="008222A2">
        <w:rPr>
          <w:rFonts w:eastAsia="Times New Roman"/>
          <w:bCs/>
          <w:i/>
          <w:iCs/>
        </w:rPr>
        <w:t>If the first scheduled and second scheduled PUSCHs are not colliding in the time domain:</w:t>
      </w:r>
    </w:p>
    <w:p w14:paraId="281F88CE"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2: The UE processes both the first scheduled and second scheduled PUSCHs as a UE capability with no condition.</w:t>
      </w:r>
    </w:p>
    <w:p w14:paraId="5CD0098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Solution 3: The UE processes both the first scheduled and second scheduled PUSCHs under some conditions. The conditions are reported as a UE capability.</w:t>
      </w:r>
    </w:p>
    <w:p w14:paraId="340A267B"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The details of the UE capability.</w:t>
      </w:r>
    </w:p>
    <w:p w14:paraId="04731D7F"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Solution 4: </w:t>
      </w:r>
    </w:p>
    <w:p w14:paraId="4F3F3853"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 UE drops (terminates) the processing of the first scheduled PUSCH.</w:t>
      </w:r>
    </w:p>
    <w:p w14:paraId="4760A1EB"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Alt1: The UE always drops the first scheduled PUSCH.</w:t>
      </w:r>
    </w:p>
    <w:p w14:paraId="61307F13"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Alt2: Some scheduling conditions should be defined. If not satisfied, the UE drops the processing of the first scheduled PUSCH.</w:t>
      </w:r>
    </w:p>
    <w:p w14:paraId="1C87D96A"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FFS how to define the scheduling conditions, e.g., based on the number of RBs, TBS, number of layers, the gap between the first and the second PUSCHs, etc.</w:t>
      </w:r>
    </w:p>
    <w:p w14:paraId="22AC855C"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F84E9B2" w14:textId="77777777" w:rsidR="00925682" w:rsidRPr="008222A2" w:rsidRDefault="00925682" w:rsidP="00925682">
      <w:pPr>
        <w:numPr>
          <w:ilvl w:val="2"/>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When the UE drops the processing of the first scheduled PUSCH, increasing the minimum PUSCH preparation procedure time (N2) of the second PUSCH by d symbols can </w:t>
      </w:r>
      <w:proofErr w:type="gramStart"/>
      <w:r w:rsidRPr="008222A2">
        <w:rPr>
          <w:rFonts w:eastAsia="Times New Roman"/>
          <w:bCs/>
          <w:i/>
          <w:iCs/>
        </w:rPr>
        <w:t>be  considered</w:t>
      </w:r>
      <w:proofErr w:type="gramEnd"/>
      <w:r w:rsidRPr="008222A2">
        <w:rPr>
          <w:rFonts w:eastAsia="Times New Roman"/>
          <w:bCs/>
          <w:i/>
          <w:iCs/>
        </w:rPr>
        <w:t>.</w:t>
      </w:r>
    </w:p>
    <w:p w14:paraId="3906323F" w14:textId="77777777" w:rsidR="00925682" w:rsidRPr="008222A2" w:rsidRDefault="00925682" w:rsidP="00925682">
      <w:pPr>
        <w:numPr>
          <w:ilvl w:val="3"/>
          <w:numId w:val="25"/>
        </w:numPr>
        <w:overflowPunct/>
        <w:autoSpaceDE/>
        <w:autoSpaceDN/>
        <w:adjustRightInd/>
        <w:spacing w:after="160" w:line="252" w:lineRule="auto"/>
        <w:jc w:val="both"/>
        <w:textAlignment w:val="auto"/>
        <w:rPr>
          <w:rFonts w:eastAsia="Times New Roman"/>
          <w:bCs/>
          <w:i/>
          <w:iCs/>
        </w:rPr>
      </w:pPr>
      <w:r w:rsidRPr="008222A2">
        <w:rPr>
          <w:rFonts w:eastAsia="Times New Roman"/>
          <w:bCs/>
          <w:i/>
          <w:iCs/>
        </w:rPr>
        <w:t xml:space="preserve">FFS the value of d. </w:t>
      </w:r>
    </w:p>
    <w:p w14:paraId="3DC279E5" w14:textId="77777777" w:rsidR="00925682" w:rsidRPr="008222A2" w:rsidRDefault="00925682" w:rsidP="00925682">
      <w:pPr>
        <w:numPr>
          <w:ilvl w:val="2"/>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lastRenderedPageBreak/>
        <w:t>Dropping the processing of the first scheduled PUSCH can be done in one of the two ways:</w:t>
      </w:r>
    </w:p>
    <w:p w14:paraId="68CB2C51"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 xml:space="preserve">Alt1: dropping the processing of the first scheduled PUSCH on the same serving cell </w:t>
      </w:r>
    </w:p>
    <w:p w14:paraId="55700F5E" w14:textId="77777777" w:rsidR="00925682" w:rsidRPr="008222A2" w:rsidRDefault="00925682" w:rsidP="00925682">
      <w:pPr>
        <w:numPr>
          <w:ilvl w:val="3"/>
          <w:numId w:val="25"/>
        </w:numPr>
        <w:overflowPunct/>
        <w:autoSpaceDE/>
        <w:autoSpaceDN/>
        <w:adjustRightInd/>
        <w:spacing w:after="160" w:line="252" w:lineRule="auto"/>
        <w:textAlignment w:val="auto"/>
        <w:rPr>
          <w:rFonts w:eastAsia="Times New Roman"/>
          <w:bCs/>
          <w:i/>
          <w:iCs/>
        </w:rPr>
      </w:pPr>
      <w:r w:rsidRPr="008222A2">
        <w:rPr>
          <w:rFonts w:eastAsia="Times New Roman"/>
          <w:bCs/>
          <w:i/>
          <w:iCs/>
        </w:rPr>
        <w:t>Alt2: dropping the processing of a PUSCH(s) on the same cell or different serving cell.</w:t>
      </w:r>
    </w:p>
    <w:p w14:paraId="470A7139"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i/>
        </w:rPr>
        <w:t xml:space="preserve">The UE </w:t>
      </w:r>
      <w:r w:rsidRPr="008222A2">
        <w:rPr>
          <w:i/>
        </w:rPr>
        <w:t>only expects a maximum of one OOO PDCCH-to-PUSCH flow on the active BWP of a given serving cell when applicable.</w:t>
      </w:r>
    </w:p>
    <w:p w14:paraId="76A67D02"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 xml:space="preserve">FFS </w:t>
      </w:r>
      <w:proofErr w:type="gramStart"/>
      <w:r w:rsidRPr="008222A2">
        <w:rPr>
          <w:rFonts w:eastAsia="Times New Roman"/>
          <w:bCs/>
          <w:i/>
          <w:iCs/>
        </w:rPr>
        <w:t>whether or not</w:t>
      </w:r>
      <w:proofErr w:type="gramEnd"/>
      <w:r w:rsidRPr="008222A2">
        <w:rPr>
          <w:rFonts w:eastAsia="Times New Roman"/>
          <w:bCs/>
          <w:i/>
          <w:iCs/>
        </w:rPr>
        <w:t xml:space="preserve"> out-of-order operation is allowed across PUSCHs with PDCCH-to-PUSCH gap compatible with PUSCH processing time (N2) for capability X.</w:t>
      </w:r>
    </w:p>
    <w:p w14:paraId="6C16A5BE" w14:textId="77777777" w:rsidR="00925682" w:rsidRPr="008222A2" w:rsidRDefault="00925682" w:rsidP="00925682">
      <w:pPr>
        <w:numPr>
          <w:ilvl w:val="0"/>
          <w:numId w:val="25"/>
        </w:numPr>
        <w:tabs>
          <w:tab w:val="clear" w:pos="720"/>
          <w:tab w:val="num" w:pos="990"/>
        </w:tabs>
        <w:overflowPunct/>
        <w:autoSpaceDE/>
        <w:autoSpaceDN/>
        <w:adjustRightInd/>
        <w:spacing w:after="160" w:line="252" w:lineRule="auto"/>
        <w:ind w:left="990"/>
        <w:jc w:val="both"/>
        <w:textAlignment w:val="auto"/>
        <w:rPr>
          <w:rFonts w:eastAsia="Times New Roman"/>
          <w:i/>
        </w:rPr>
      </w:pPr>
      <w:r w:rsidRPr="008222A2">
        <w:rPr>
          <w:rFonts w:eastAsia="Times New Roman"/>
          <w:bCs/>
          <w:i/>
          <w:iCs/>
        </w:rPr>
        <w:t>If the first scheduled PUSCH and the second scheduled PUSCH are colliding in the time domain, the UE drops the processing and the transmission of the first scheduled PUSCH.</w:t>
      </w:r>
    </w:p>
    <w:p w14:paraId="3BE15925" w14:textId="77777777" w:rsidR="00925682" w:rsidRPr="008222A2"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For dropping, the scheduling limitations do not apply. The UE always drops the first scheduled PUSCH.</w:t>
      </w:r>
    </w:p>
    <w:p w14:paraId="4F25A24E" w14:textId="2DD94A58" w:rsidR="00925682" w:rsidRPr="003528A3" w:rsidRDefault="00925682" w:rsidP="00925682">
      <w:pPr>
        <w:numPr>
          <w:ilvl w:val="1"/>
          <w:numId w:val="25"/>
        </w:numPr>
        <w:overflowPunct/>
        <w:autoSpaceDE/>
        <w:autoSpaceDN/>
        <w:adjustRightInd/>
        <w:spacing w:after="160" w:line="252" w:lineRule="auto"/>
        <w:jc w:val="both"/>
        <w:textAlignment w:val="auto"/>
        <w:rPr>
          <w:rFonts w:eastAsia="Times New Roman"/>
          <w:i/>
        </w:rPr>
      </w:pPr>
      <w:r w:rsidRPr="008222A2">
        <w:rPr>
          <w:rFonts w:eastAsia="Times New Roman"/>
          <w:bCs/>
          <w:i/>
          <w:iCs/>
        </w:rPr>
        <w:t xml:space="preserve">Other details of dropping are as those of the solution 4. </w:t>
      </w:r>
    </w:p>
    <w:p w14:paraId="0405D2A3" w14:textId="6E6E6CD3" w:rsidR="003528A3" w:rsidRDefault="003528A3" w:rsidP="003528A3">
      <w:pPr>
        <w:overflowPunct/>
        <w:autoSpaceDE/>
        <w:autoSpaceDN/>
        <w:adjustRightInd/>
        <w:spacing w:after="160" w:line="252" w:lineRule="auto"/>
        <w:jc w:val="both"/>
        <w:textAlignment w:val="auto"/>
        <w:rPr>
          <w:rFonts w:eastAsia="Times New Roman"/>
          <w:i/>
        </w:rPr>
      </w:pPr>
    </w:p>
    <w:p w14:paraId="1D51C64A" w14:textId="77F237BC" w:rsidR="003528A3" w:rsidRPr="003528A3" w:rsidRDefault="003528A3" w:rsidP="003528A3">
      <w:pPr>
        <w:overflowPunct/>
        <w:autoSpaceDE/>
        <w:autoSpaceDN/>
        <w:adjustRightInd/>
        <w:spacing w:after="160" w:line="252" w:lineRule="auto"/>
        <w:jc w:val="both"/>
        <w:textAlignment w:val="auto"/>
        <w:rPr>
          <w:rFonts w:eastAsia="Times New Roman"/>
        </w:rPr>
      </w:pPr>
      <w:r w:rsidRPr="003528A3">
        <w:rPr>
          <w:rFonts w:eastAsia="Times New Roman"/>
        </w:rPr>
        <w:t>Further, regarding the handling of collision between two PDSCHs, the following agreements were made in RAN1 #96b:</w:t>
      </w:r>
    </w:p>
    <w:p w14:paraId="225112F9" w14:textId="1B518EAF" w:rsidR="003528A3" w:rsidRDefault="003528A3" w:rsidP="003528A3">
      <w:pPr>
        <w:overflowPunct/>
        <w:autoSpaceDE/>
        <w:autoSpaceDN/>
        <w:adjustRightInd/>
        <w:spacing w:after="160" w:line="252" w:lineRule="auto"/>
        <w:jc w:val="both"/>
        <w:textAlignment w:val="auto"/>
        <w:rPr>
          <w:rFonts w:eastAsia="Times New Roman"/>
          <w:i/>
        </w:rPr>
      </w:pPr>
    </w:p>
    <w:p w14:paraId="2BD2D61C" w14:textId="77777777" w:rsidR="002876CB" w:rsidRPr="003528A3" w:rsidRDefault="00765898" w:rsidP="003528A3">
      <w:pPr>
        <w:overflowPunct/>
        <w:autoSpaceDE/>
        <w:autoSpaceDN/>
        <w:adjustRightInd/>
        <w:spacing w:after="160" w:line="252" w:lineRule="auto"/>
        <w:jc w:val="both"/>
        <w:textAlignment w:val="auto"/>
        <w:rPr>
          <w:rFonts w:eastAsia="Times New Roman"/>
          <w:u w:val="single"/>
        </w:rPr>
      </w:pPr>
      <w:r w:rsidRPr="003528A3">
        <w:rPr>
          <w:rFonts w:eastAsia="Times New Roman"/>
          <w:b/>
          <w:bCs/>
          <w:highlight w:val="green"/>
          <w:u w:val="single"/>
          <w:lang w:val="en-GB"/>
        </w:rPr>
        <w:t>Agreements:</w:t>
      </w:r>
    </w:p>
    <w:p w14:paraId="526CAF30" w14:textId="77777777" w:rsidR="002876CB" w:rsidRPr="003528A3" w:rsidRDefault="00765898" w:rsidP="003528A3">
      <w:pPr>
        <w:pStyle w:val="ListParagraph"/>
        <w:numPr>
          <w:ilvl w:val="0"/>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In case two unicast PDSCHs for a UE are overlapping, the following scenarios are identified:</w:t>
      </w:r>
    </w:p>
    <w:p w14:paraId="2E899510" w14:textId="77777777" w:rsidR="002876CB" w:rsidRPr="003528A3" w:rsidRDefault="00765898" w:rsidP="003528A3">
      <w:pPr>
        <w:pStyle w:val="ListParagraph"/>
        <w:numPr>
          <w:ilvl w:val="1"/>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Scenario 1-1: Overlapping in the time domain and not in the frequency domain</w:t>
      </w:r>
    </w:p>
    <w:p w14:paraId="6F284B5F" w14:textId="77777777" w:rsidR="002876CB" w:rsidRPr="003528A3" w:rsidRDefault="00765898" w:rsidP="003528A3">
      <w:pPr>
        <w:pStyle w:val="ListParagraph"/>
        <w:numPr>
          <w:ilvl w:val="1"/>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Scenario 1-2: Overlapping both in the time and frequency domains</w:t>
      </w:r>
    </w:p>
    <w:p w14:paraId="77E05D11" w14:textId="77777777" w:rsidR="002876CB" w:rsidRPr="003528A3" w:rsidRDefault="00765898" w:rsidP="003528A3">
      <w:pPr>
        <w:overflowPunct/>
        <w:autoSpaceDE/>
        <w:autoSpaceDN/>
        <w:adjustRightInd/>
        <w:spacing w:after="160" w:line="252" w:lineRule="auto"/>
        <w:jc w:val="both"/>
        <w:textAlignment w:val="auto"/>
        <w:rPr>
          <w:rFonts w:eastAsia="Times New Roman"/>
          <w:u w:val="single"/>
        </w:rPr>
      </w:pPr>
      <w:r w:rsidRPr="003528A3">
        <w:rPr>
          <w:rFonts w:eastAsia="Times New Roman"/>
          <w:b/>
          <w:bCs/>
          <w:highlight w:val="lightGray"/>
          <w:u w:val="single"/>
          <w:lang w:val="en-GB"/>
        </w:rPr>
        <w:t>Working assumption:</w:t>
      </w:r>
    </w:p>
    <w:p w14:paraId="755F4232" w14:textId="77777777" w:rsidR="002876CB" w:rsidRPr="003528A3" w:rsidRDefault="00765898" w:rsidP="003528A3">
      <w:pPr>
        <w:pStyle w:val="ListParagraph"/>
        <w:numPr>
          <w:ilvl w:val="0"/>
          <w:numId w:val="37"/>
        </w:numPr>
        <w:spacing w:after="160" w:line="252" w:lineRule="auto"/>
        <w:jc w:val="both"/>
        <w:rPr>
          <w:rFonts w:ascii="Times New Roman" w:eastAsia="Times New Roman" w:hAnsi="Times New Roman"/>
          <w:i/>
          <w:sz w:val="20"/>
        </w:rPr>
      </w:pPr>
      <w:r w:rsidRPr="003528A3">
        <w:rPr>
          <w:rFonts w:ascii="Times New Roman" w:eastAsia="Times New Roman" w:hAnsi="Times New Roman"/>
          <w:i/>
          <w:sz w:val="20"/>
          <w:lang w:val="en-GB"/>
        </w:rPr>
        <w:t xml:space="preserve">When the two unicast PDSCHs for a UE are overlapping, the UE generates HARQ-ACK for </w:t>
      </w:r>
      <w:proofErr w:type="gramStart"/>
      <w:r w:rsidRPr="003528A3">
        <w:rPr>
          <w:rFonts w:ascii="Times New Roman" w:eastAsia="Times New Roman" w:hAnsi="Times New Roman"/>
          <w:i/>
          <w:sz w:val="20"/>
          <w:lang w:val="en-GB"/>
        </w:rPr>
        <w:t>both of the PDSCHs</w:t>
      </w:r>
      <w:proofErr w:type="gramEnd"/>
      <w:r w:rsidRPr="003528A3">
        <w:rPr>
          <w:rFonts w:ascii="Times New Roman" w:eastAsia="Times New Roman" w:hAnsi="Times New Roman"/>
          <w:i/>
          <w:sz w:val="20"/>
          <w:lang w:val="en-GB"/>
        </w:rPr>
        <w:t>.</w:t>
      </w:r>
    </w:p>
    <w:p w14:paraId="0DFF5C43" w14:textId="71FBE78A" w:rsidR="00FC0A29" w:rsidRPr="00A76DA8" w:rsidRDefault="00925682" w:rsidP="00A76DA8">
      <w:pPr>
        <w:jc w:val="both"/>
        <w:rPr>
          <w:rFonts w:asciiTheme="majorBidi" w:hAnsiTheme="majorBidi" w:cstheme="majorBidi"/>
          <w:bCs/>
          <w:iCs/>
        </w:rPr>
      </w:pPr>
      <w:r w:rsidRPr="008222A2">
        <w:rPr>
          <w:rFonts w:asciiTheme="majorBidi" w:hAnsiTheme="majorBidi" w:cstheme="majorBidi"/>
          <w:bCs/>
          <w:iCs/>
        </w:rPr>
        <w:t xml:space="preserve">In this contribution paper, we first </w:t>
      </w:r>
      <w:r w:rsidR="001E038B">
        <w:rPr>
          <w:rFonts w:asciiTheme="majorBidi" w:hAnsiTheme="majorBidi" w:cstheme="majorBidi"/>
          <w:bCs/>
          <w:iCs/>
        </w:rPr>
        <w:t xml:space="preserve">present the reasons to allow for scheduling downlink and uplink channels </w:t>
      </w:r>
      <w:r w:rsidR="003A1E05">
        <w:rPr>
          <w:rFonts w:asciiTheme="majorBidi" w:hAnsiTheme="majorBidi" w:cstheme="majorBidi"/>
          <w:bCs/>
          <w:iCs/>
        </w:rPr>
        <w:t xml:space="preserve">with different processing timelines on the same serving cell. Then, we provide a detailed comparison among the four solutions. Then, we consider the collision between two PDSCHs and discuss the possible UE behaviors. </w:t>
      </w:r>
      <w:r w:rsidRPr="008222A2">
        <w:rPr>
          <w:rFonts w:asciiTheme="majorBidi" w:hAnsiTheme="majorBidi" w:cstheme="majorBidi"/>
          <w:bCs/>
          <w:iCs/>
        </w:rPr>
        <w:t xml:space="preserve">Finally, we discuss the impact of the out-of-order operation on uplink power control. </w:t>
      </w:r>
    </w:p>
    <w:p w14:paraId="2AC9FAEA" w14:textId="77777777" w:rsidR="003F13A6" w:rsidRDefault="0091205C" w:rsidP="003F13A6">
      <w:pPr>
        <w:pStyle w:val="Heading1"/>
        <w:jc w:val="both"/>
        <w:rPr>
          <w:rFonts w:ascii="Times New Roman" w:hAnsi="Times New Roman"/>
        </w:rPr>
      </w:pPr>
      <w:r>
        <w:rPr>
          <w:rFonts w:ascii="Times New Roman" w:hAnsi="Times New Roman"/>
        </w:rPr>
        <w:t xml:space="preserve">On the Value of </w:t>
      </w:r>
      <w:r w:rsidR="003F13A6">
        <w:rPr>
          <w:rFonts w:ascii="Times New Roman" w:hAnsi="Times New Roman"/>
        </w:rPr>
        <w:t xml:space="preserve">Allowing Different Processing Times </w:t>
      </w:r>
      <w:proofErr w:type="gramStart"/>
      <w:r w:rsidR="003F13A6">
        <w:rPr>
          <w:rFonts w:ascii="Times New Roman" w:hAnsi="Times New Roman"/>
        </w:rPr>
        <w:t>On</w:t>
      </w:r>
      <w:proofErr w:type="gramEnd"/>
      <w:r w:rsidR="003F13A6">
        <w:rPr>
          <w:rFonts w:ascii="Times New Roman" w:hAnsi="Times New Roman"/>
        </w:rPr>
        <w:t xml:space="preserve"> a Cell</w:t>
      </w:r>
    </w:p>
    <w:p w14:paraId="4BAD451C" w14:textId="73601962" w:rsidR="008A2BA4" w:rsidRPr="003F13A6" w:rsidRDefault="003F13A6" w:rsidP="003F13A6">
      <w:pPr>
        <w:pStyle w:val="Caption"/>
        <w:jc w:val="both"/>
        <w:rPr>
          <w:b w:val="0"/>
        </w:rPr>
      </w:pPr>
      <w:r w:rsidRPr="003F13A6">
        <w:rPr>
          <w:b w:val="0"/>
        </w:rPr>
        <w:t>In this section, we explain why the main use case of allowing for the out-of-order operation, in both uplink and downlink, is to consider a scenario where channels with different minimum processing times can be mixed on the same serving cell.</w:t>
      </w:r>
      <w:r w:rsidR="003742E1" w:rsidRPr="003F13A6">
        <w:rPr>
          <w:b w:val="0"/>
        </w:rPr>
        <w:t xml:space="preserve"> </w:t>
      </w:r>
    </w:p>
    <w:p w14:paraId="3CD86A24" w14:textId="6919EDF2" w:rsidR="003F13A6" w:rsidRDefault="003F13A6" w:rsidP="003F13A6">
      <w:pPr>
        <w:jc w:val="both"/>
        <w:rPr>
          <w:lang w:val="en-GB"/>
        </w:rPr>
      </w:pPr>
      <w:r>
        <w:rPr>
          <w:lang w:val="en-GB"/>
        </w:rPr>
        <w:t xml:space="preserve">To better understand the value of out-of-order operation, we should first </w:t>
      </w:r>
      <w:proofErr w:type="gramStart"/>
      <w:r>
        <w:rPr>
          <w:lang w:val="en-GB"/>
        </w:rPr>
        <w:t>take a look</w:t>
      </w:r>
      <w:proofErr w:type="gramEnd"/>
      <w:r>
        <w:rPr>
          <w:lang w:val="en-GB"/>
        </w:rPr>
        <w:t xml:space="preserve"> at the configuration and limitation constraints imposed in Rel. 15 NR. Some examples are as follows:</w:t>
      </w:r>
    </w:p>
    <w:p w14:paraId="22CA3C26" w14:textId="72547865" w:rsidR="003F13A6" w:rsidRDefault="000B25FD" w:rsidP="003F13A6">
      <w:pPr>
        <w:pStyle w:val="ListParagraph"/>
        <w:numPr>
          <w:ilvl w:val="0"/>
          <w:numId w:val="37"/>
        </w:numPr>
        <w:jc w:val="both"/>
        <w:rPr>
          <w:rFonts w:ascii="Times New Roman" w:hAnsi="Times New Roman"/>
          <w:sz w:val="20"/>
          <w:lang w:val="en-GB"/>
        </w:rPr>
      </w:pPr>
      <w:r w:rsidRPr="000B25FD">
        <w:rPr>
          <w:rFonts w:ascii="Times New Roman" w:hAnsi="Times New Roman"/>
          <w:b/>
          <w:sz w:val="20"/>
          <w:u w:val="single"/>
          <w:lang w:val="en-GB"/>
        </w:rPr>
        <w:t xml:space="preserve">Example </w:t>
      </w:r>
      <w:r w:rsidR="006D10DA">
        <w:rPr>
          <w:rFonts w:ascii="Times New Roman" w:hAnsi="Times New Roman"/>
          <w:b/>
          <w:sz w:val="20"/>
          <w:u w:val="single"/>
          <w:lang w:val="en-GB"/>
        </w:rPr>
        <w:t>#</w:t>
      </w:r>
      <w:r w:rsidRPr="000B25FD">
        <w:rPr>
          <w:rFonts w:ascii="Times New Roman" w:hAnsi="Times New Roman"/>
          <w:b/>
          <w:sz w:val="20"/>
          <w:u w:val="single"/>
          <w:lang w:val="en-GB"/>
        </w:rPr>
        <w:t>1:</w:t>
      </w:r>
      <w:r>
        <w:rPr>
          <w:rFonts w:ascii="Times New Roman" w:hAnsi="Times New Roman"/>
          <w:sz w:val="20"/>
          <w:lang w:val="en-GB"/>
        </w:rPr>
        <w:t xml:space="preserve"> </w:t>
      </w:r>
      <w:r w:rsidR="003F13A6" w:rsidRPr="003F13A6">
        <w:rPr>
          <w:rFonts w:ascii="Times New Roman" w:hAnsi="Times New Roman"/>
          <w:sz w:val="20"/>
          <w:lang w:val="en-GB"/>
        </w:rPr>
        <w:t>In Rel. 15 NR, if additional DMRS is configured for a se</w:t>
      </w:r>
      <w:r w:rsidR="003F13A6">
        <w:rPr>
          <w:rFonts w:ascii="Times New Roman" w:hAnsi="Times New Roman"/>
          <w:sz w:val="20"/>
          <w:lang w:val="en-GB"/>
        </w:rPr>
        <w:t xml:space="preserve">rving cell, the N1 for all PDSCHs (regardless of the length of the allocation or whether a PDSCH has additional DMRS or not, is set based on the “slow” timing capability #1. This means that it is not possible to have a long allocation with additional DMRS </w:t>
      </w:r>
      <w:r w:rsidR="00BC7A71">
        <w:rPr>
          <w:rFonts w:ascii="Times New Roman" w:hAnsi="Times New Roman"/>
          <w:sz w:val="20"/>
          <w:lang w:val="en-GB"/>
        </w:rPr>
        <w:t xml:space="preserve">based on the “slow” </w:t>
      </w:r>
      <w:r>
        <w:rPr>
          <w:rFonts w:ascii="Times New Roman" w:hAnsi="Times New Roman"/>
          <w:sz w:val="20"/>
          <w:lang w:val="en-GB"/>
        </w:rPr>
        <w:t>timing capability #1 followed</w:t>
      </w:r>
      <w:r w:rsidR="003F13A6">
        <w:rPr>
          <w:rFonts w:ascii="Times New Roman" w:hAnsi="Times New Roman"/>
          <w:sz w:val="20"/>
          <w:lang w:val="en-GB"/>
        </w:rPr>
        <w:t xml:space="preserve"> by a short allocation without an additional DMRS </w:t>
      </w:r>
      <w:r>
        <w:rPr>
          <w:rFonts w:ascii="Times New Roman" w:hAnsi="Times New Roman"/>
          <w:sz w:val="20"/>
          <w:lang w:val="en-GB"/>
        </w:rPr>
        <w:t>based on the “fast” timing capability #1.</w:t>
      </w:r>
    </w:p>
    <w:p w14:paraId="5676AAE7" w14:textId="1A75BE09" w:rsidR="000B25FD" w:rsidRDefault="000B25FD" w:rsidP="000B25FD">
      <w:pPr>
        <w:pStyle w:val="ListParagraph"/>
        <w:numPr>
          <w:ilvl w:val="1"/>
          <w:numId w:val="37"/>
        </w:numPr>
        <w:jc w:val="both"/>
        <w:rPr>
          <w:rFonts w:ascii="Times New Roman" w:hAnsi="Times New Roman"/>
          <w:sz w:val="20"/>
          <w:lang w:val="en-GB"/>
        </w:rPr>
      </w:pPr>
      <w:r>
        <w:rPr>
          <w:rFonts w:ascii="Times New Roman" w:hAnsi="Times New Roman"/>
          <w:sz w:val="20"/>
          <w:lang w:val="en-GB"/>
        </w:rPr>
        <w:t>Note that the “slow” and “fast” timing capability refers to the values in the table below for the case where additional DMRS is configured and not configured, respectively.</w:t>
      </w:r>
    </w:p>
    <w:p w14:paraId="32081751" w14:textId="699D76CC" w:rsidR="000B25FD" w:rsidRDefault="000B25FD" w:rsidP="000B25FD">
      <w:pPr>
        <w:jc w:val="both"/>
        <w:rPr>
          <w:lang w:val="en-GB"/>
        </w:rPr>
      </w:pPr>
    </w:p>
    <w:p w14:paraId="58E36B11" w14:textId="77777777" w:rsidR="000B25FD" w:rsidRPr="000B25FD" w:rsidRDefault="000B25FD" w:rsidP="000B25FD">
      <w:pPr>
        <w:jc w:val="both"/>
        <w:rPr>
          <w:lang w:val="en-GB"/>
        </w:rPr>
      </w:pPr>
    </w:p>
    <w:p w14:paraId="54B27B66" w14:textId="2FB43A08" w:rsidR="000B25FD" w:rsidRDefault="000B25FD" w:rsidP="000B25FD">
      <w:pPr>
        <w:jc w:val="both"/>
        <w:rPr>
          <w:lang w:val="en-GB"/>
        </w:rPr>
      </w:pPr>
    </w:p>
    <w:p w14:paraId="5ADCA976" w14:textId="77777777" w:rsidR="000B25FD" w:rsidRPr="000B25FD" w:rsidRDefault="000B25FD" w:rsidP="000B25FD">
      <w:pPr>
        <w:pStyle w:val="TH"/>
        <w:rPr>
          <w:rFonts w:ascii="Times New Roman" w:hAnsi="Times New Roman"/>
          <w:i/>
          <w:color w:val="000000"/>
        </w:rPr>
      </w:pPr>
      <w:r w:rsidRPr="000B25FD">
        <w:rPr>
          <w:rFonts w:ascii="Times New Roman" w:hAnsi="Times New Roman"/>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B25FD" w:rsidRPr="000B25FD" w14:paraId="45E36829" w14:textId="77777777" w:rsidTr="0021625E">
        <w:trPr>
          <w:jc w:val="center"/>
        </w:trPr>
        <w:tc>
          <w:tcPr>
            <w:tcW w:w="828" w:type="dxa"/>
            <w:vMerge w:val="restart"/>
            <w:shd w:val="clear" w:color="auto" w:fill="auto"/>
            <w:vAlign w:val="center"/>
          </w:tcPr>
          <w:p w14:paraId="5E5E0C6D"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color w:val="000000"/>
                <w:position w:val="-8"/>
                <w:sz w:val="20"/>
                <w:lang w:val="en-GB"/>
              </w:rPr>
              <w:object w:dxaOrig="220" w:dyaOrig="220" w14:anchorId="49E46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18430986" r:id="rId13"/>
              </w:object>
            </w:r>
          </w:p>
        </w:tc>
        <w:tc>
          <w:tcPr>
            <w:tcW w:w="7547" w:type="dxa"/>
            <w:gridSpan w:val="2"/>
            <w:shd w:val="clear" w:color="auto" w:fill="auto"/>
          </w:tcPr>
          <w:p w14:paraId="590F9567"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color w:val="000000"/>
                <w:sz w:val="20"/>
                <w:lang w:val="en-GB"/>
              </w:rPr>
              <w:t xml:space="preserve">PDSCH decoding time </w:t>
            </w:r>
            <w:r w:rsidRPr="000B25FD">
              <w:rPr>
                <w:rFonts w:ascii="Times New Roman" w:eastAsia="Batang" w:hAnsi="Times New Roman"/>
                <w:i/>
                <w:color w:val="000000"/>
                <w:sz w:val="20"/>
                <w:lang w:val="en-GB"/>
              </w:rPr>
              <w:t>N</w:t>
            </w:r>
            <w:r w:rsidRPr="000B25FD">
              <w:rPr>
                <w:rFonts w:ascii="Times New Roman" w:eastAsia="Batang" w:hAnsi="Times New Roman"/>
                <w:i/>
                <w:color w:val="000000"/>
                <w:sz w:val="20"/>
                <w:vertAlign w:val="subscript"/>
                <w:lang w:val="en-GB"/>
              </w:rPr>
              <w:t>1</w:t>
            </w:r>
            <w:r w:rsidRPr="000B25FD">
              <w:rPr>
                <w:rFonts w:ascii="Times New Roman" w:eastAsia="Batang" w:hAnsi="Times New Roman"/>
                <w:color w:val="000000"/>
                <w:sz w:val="20"/>
                <w:lang w:val="en-GB"/>
              </w:rPr>
              <w:t xml:space="preserve"> [symbols]</w:t>
            </w:r>
          </w:p>
        </w:tc>
      </w:tr>
      <w:tr w:rsidR="000B25FD" w:rsidRPr="000B25FD" w14:paraId="229A7ABA" w14:textId="77777777" w:rsidTr="0021625E">
        <w:trPr>
          <w:jc w:val="center"/>
        </w:trPr>
        <w:tc>
          <w:tcPr>
            <w:tcW w:w="828" w:type="dxa"/>
            <w:vMerge/>
            <w:shd w:val="clear" w:color="auto" w:fill="auto"/>
          </w:tcPr>
          <w:p w14:paraId="401FBB45" w14:textId="77777777" w:rsidR="000B25FD" w:rsidRPr="000B25FD" w:rsidRDefault="000B25FD" w:rsidP="0021625E">
            <w:pPr>
              <w:pStyle w:val="TAH"/>
              <w:rPr>
                <w:rFonts w:ascii="Times New Roman" w:eastAsia="Batang" w:hAnsi="Times New Roman"/>
                <w:color w:val="000000"/>
                <w:sz w:val="20"/>
                <w:lang w:val="en-GB"/>
              </w:rPr>
            </w:pPr>
          </w:p>
        </w:tc>
        <w:tc>
          <w:tcPr>
            <w:tcW w:w="3773" w:type="dxa"/>
            <w:shd w:val="clear" w:color="auto" w:fill="auto"/>
          </w:tcPr>
          <w:p w14:paraId="1C601FC2"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i/>
                <w:color w:val="000000"/>
                <w:sz w:val="20"/>
                <w:lang w:val="en-GB"/>
              </w:rPr>
              <w:t xml:space="preserve">dmrs-AdditionalPosition </w:t>
            </w:r>
            <w:r w:rsidRPr="000B25FD">
              <w:rPr>
                <w:rFonts w:ascii="Times New Roman" w:eastAsia="Batang" w:hAnsi="Times New Roman"/>
                <w:color w:val="000000"/>
                <w:sz w:val="20"/>
                <w:lang w:val="en-GB"/>
              </w:rPr>
              <w:t xml:space="preserve">= pos0 in </w:t>
            </w:r>
            <w:r w:rsidRPr="000B25FD">
              <w:rPr>
                <w:rFonts w:ascii="Times New Roman" w:eastAsia="Batang" w:hAnsi="Times New Roman"/>
                <w:color w:val="000000"/>
                <w:sz w:val="20"/>
                <w:lang w:val="en-GB"/>
              </w:rPr>
              <w:br/>
            </w:r>
            <w:r w:rsidRPr="000B25FD">
              <w:rPr>
                <w:rFonts w:ascii="Times New Roman" w:eastAsia="Batang" w:hAnsi="Times New Roman"/>
                <w:i/>
                <w:color w:val="000000"/>
                <w:sz w:val="20"/>
                <w:lang w:val="en-GB"/>
              </w:rPr>
              <w:t xml:space="preserve">DMRS-DownlinkConfig </w:t>
            </w:r>
            <w:r w:rsidRPr="000B25FD">
              <w:rPr>
                <w:rFonts w:ascii="Times New Roman" w:eastAsia="Batang" w:hAnsi="Times New Roman"/>
                <w:color w:val="000000"/>
                <w:sz w:val="20"/>
                <w:lang w:val="en-GB"/>
              </w:rPr>
              <w:t xml:space="preserve">in both of </w:t>
            </w:r>
            <w:r w:rsidRPr="000B25FD">
              <w:rPr>
                <w:rFonts w:ascii="Times New Roman" w:eastAsia="Batang" w:hAnsi="Times New Roman"/>
                <w:color w:val="000000"/>
                <w:sz w:val="20"/>
                <w:lang w:val="en-GB"/>
              </w:rPr>
              <w:br/>
            </w:r>
            <w:r w:rsidRPr="000B25FD">
              <w:rPr>
                <w:rFonts w:ascii="Times New Roman" w:hAnsi="Times New Roman"/>
                <w:i/>
                <w:sz w:val="20"/>
              </w:rPr>
              <w:t>dmrs-DownlinkForPDSCH-MappingTypeA</w:t>
            </w:r>
            <w:r w:rsidRPr="000B25FD">
              <w:rPr>
                <w:rFonts w:ascii="Times New Roman" w:hAnsi="Times New Roman"/>
                <w:sz w:val="20"/>
              </w:rPr>
              <w:t xml:space="preserve">, </w:t>
            </w:r>
            <w:r w:rsidRPr="000B25FD">
              <w:rPr>
                <w:rFonts w:ascii="Times New Roman" w:hAnsi="Times New Roman"/>
                <w:i/>
                <w:sz w:val="20"/>
              </w:rPr>
              <w:t>dmrs-DownlinkForPDSCH-MappingTypeB</w:t>
            </w:r>
          </w:p>
        </w:tc>
        <w:tc>
          <w:tcPr>
            <w:tcW w:w="3774" w:type="dxa"/>
          </w:tcPr>
          <w:p w14:paraId="2EAF1937" w14:textId="77777777" w:rsidR="000B25FD" w:rsidRPr="000B25FD" w:rsidRDefault="000B25FD" w:rsidP="0021625E">
            <w:pPr>
              <w:pStyle w:val="TAH"/>
              <w:rPr>
                <w:rFonts w:ascii="Times New Roman" w:eastAsia="Batang" w:hAnsi="Times New Roman"/>
                <w:i/>
                <w:color w:val="000000"/>
                <w:sz w:val="20"/>
                <w:lang w:val="en-GB"/>
              </w:rPr>
            </w:pPr>
            <w:r w:rsidRPr="000B25FD">
              <w:rPr>
                <w:rFonts w:ascii="Times New Roman" w:eastAsia="Batang" w:hAnsi="Times New Roman"/>
                <w:i/>
                <w:color w:val="000000"/>
                <w:sz w:val="20"/>
                <w:lang w:val="en-GB"/>
              </w:rPr>
              <w:t xml:space="preserve">dmrs-AdditionalPosition </w:t>
            </w:r>
            <w:r w:rsidRPr="000B25FD">
              <w:rPr>
                <w:rFonts w:ascii="Times New Roman" w:eastAsia="Batang" w:hAnsi="Times New Roman"/>
                <w:color w:val="000000"/>
                <w:sz w:val="20"/>
                <w:lang w:val="en-GB"/>
              </w:rPr>
              <w:t xml:space="preserve">≠ pos0 in </w:t>
            </w:r>
            <w:r w:rsidRPr="000B25FD">
              <w:rPr>
                <w:rFonts w:ascii="Times New Roman" w:eastAsia="Batang" w:hAnsi="Times New Roman"/>
                <w:color w:val="000000"/>
                <w:sz w:val="20"/>
                <w:lang w:val="en-GB"/>
              </w:rPr>
              <w:br/>
            </w:r>
            <w:r w:rsidRPr="000B25FD">
              <w:rPr>
                <w:rFonts w:ascii="Times New Roman" w:eastAsia="Batang" w:hAnsi="Times New Roman"/>
                <w:i/>
                <w:color w:val="000000"/>
                <w:sz w:val="20"/>
                <w:lang w:val="en-GB"/>
              </w:rPr>
              <w:t xml:space="preserve">DMRS-DownlinkConfig </w:t>
            </w:r>
            <w:r w:rsidRPr="000B25FD">
              <w:rPr>
                <w:rFonts w:ascii="Times New Roman" w:eastAsia="Batang" w:hAnsi="Times New Roman"/>
                <w:color w:val="000000"/>
                <w:sz w:val="20"/>
                <w:lang w:val="en-GB"/>
              </w:rPr>
              <w:t xml:space="preserve">in either of </w:t>
            </w:r>
            <w:r w:rsidRPr="000B25FD">
              <w:rPr>
                <w:rFonts w:ascii="Times New Roman" w:eastAsia="Batang" w:hAnsi="Times New Roman"/>
                <w:color w:val="000000"/>
                <w:sz w:val="20"/>
                <w:lang w:val="en-GB"/>
              </w:rPr>
              <w:br/>
            </w:r>
            <w:r w:rsidRPr="000B25FD">
              <w:rPr>
                <w:rFonts w:ascii="Times New Roman" w:hAnsi="Times New Roman"/>
                <w:i/>
                <w:sz w:val="20"/>
              </w:rPr>
              <w:t>dmrs-DownlinkForPDSCH-MappingTypeA</w:t>
            </w:r>
            <w:r w:rsidRPr="000B25FD">
              <w:rPr>
                <w:rFonts w:ascii="Times New Roman" w:hAnsi="Times New Roman"/>
                <w:sz w:val="20"/>
              </w:rPr>
              <w:t xml:space="preserve">, </w:t>
            </w:r>
            <w:r w:rsidRPr="000B25FD">
              <w:rPr>
                <w:rFonts w:ascii="Times New Roman" w:hAnsi="Times New Roman"/>
                <w:i/>
                <w:sz w:val="20"/>
              </w:rPr>
              <w:t>dmrs-DownlinkForPDSCH-MappingTypeB</w:t>
            </w:r>
            <w:r w:rsidRPr="000B25FD">
              <w:rPr>
                <w:rFonts w:ascii="Times New Roman" w:eastAsia="Batang" w:hAnsi="Times New Roman"/>
                <w:i/>
                <w:color w:val="000000"/>
                <w:sz w:val="20"/>
                <w:lang w:val="en-GB"/>
              </w:rPr>
              <w:t xml:space="preserve"> </w:t>
            </w:r>
          </w:p>
          <w:p w14:paraId="0E670E41" w14:textId="77777777" w:rsidR="000B25FD" w:rsidRPr="000B25FD" w:rsidRDefault="000B25FD" w:rsidP="0021625E">
            <w:pPr>
              <w:pStyle w:val="TAH"/>
              <w:rPr>
                <w:rFonts w:ascii="Times New Roman" w:eastAsia="Batang" w:hAnsi="Times New Roman"/>
                <w:color w:val="000000"/>
                <w:sz w:val="20"/>
                <w:lang w:val="en-GB"/>
              </w:rPr>
            </w:pPr>
            <w:r w:rsidRPr="000B25FD">
              <w:rPr>
                <w:rFonts w:ascii="Times New Roman" w:eastAsia="Batang" w:hAnsi="Times New Roman"/>
                <w:i/>
                <w:color w:val="000000"/>
                <w:sz w:val="20"/>
                <w:lang w:val="en-GB"/>
              </w:rPr>
              <w:t xml:space="preserve">or if the higher layer parameter is not configured </w:t>
            </w:r>
          </w:p>
        </w:tc>
      </w:tr>
      <w:tr w:rsidR="000B25FD" w:rsidRPr="000B25FD" w14:paraId="5D8C0997" w14:textId="77777777" w:rsidTr="0021625E">
        <w:trPr>
          <w:jc w:val="center"/>
        </w:trPr>
        <w:tc>
          <w:tcPr>
            <w:tcW w:w="828" w:type="dxa"/>
            <w:shd w:val="clear" w:color="auto" w:fill="auto"/>
          </w:tcPr>
          <w:p w14:paraId="1B63045E"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0</w:t>
            </w:r>
          </w:p>
        </w:tc>
        <w:tc>
          <w:tcPr>
            <w:tcW w:w="3773" w:type="dxa"/>
            <w:shd w:val="clear" w:color="auto" w:fill="auto"/>
          </w:tcPr>
          <w:p w14:paraId="40AB58F9"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8</w:t>
            </w:r>
          </w:p>
        </w:tc>
        <w:tc>
          <w:tcPr>
            <w:tcW w:w="3774" w:type="dxa"/>
          </w:tcPr>
          <w:p w14:paraId="08812599"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i/>
                <w:color w:val="000000"/>
                <w:sz w:val="20"/>
                <w:lang w:val="en-GB"/>
              </w:rPr>
              <w:t>N</w:t>
            </w:r>
            <w:r w:rsidRPr="000B25FD">
              <w:rPr>
                <w:rFonts w:ascii="Times New Roman" w:eastAsia="Batang" w:hAnsi="Times New Roman"/>
                <w:i/>
                <w:color w:val="000000"/>
                <w:sz w:val="20"/>
                <w:vertAlign w:val="subscript"/>
                <w:lang w:val="en-GB"/>
              </w:rPr>
              <w:t>1,0</w:t>
            </w:r>
          </w:p>
        </w:tc>
      </w:tr>
      <w:tr w:rsidR="000B25FD" w:rsidRPr="000B25FD" w14:paraId="1F540540" w14:textId="77777777" w:rsidTr="0021625E">
        <w:trPr>
          <w:jc w:val="center"/>
        </w:trPr>
        <w:tc>
          <w:tcPr>
            <w:tcW w:w="828" w:type="dxa"/>
            <w:shd w:val="clear" w:color="auto" w:fill="auto"/>
          </w:tcPr>
          <w:p w14:paraId="6058C9BC"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w:t>
            </w:r>
          </w:p>
        </w:tc>
        <w:tc>
          <w:tcPr>
            <w:tcW w:w="3773" w:type="dxa"/>
            <w:shd w:val="clear" w:color="auto" w:fill="auto"/>
          </w:tcPr>
          <w:p w14:paraId="49401002"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10</w:t>
            </w:r>
          </w:p>
        </w:tc>
        <w:tc>
          <w:tcPr>
            <w:tcW w:w="3774" w:type="dxa"/>
          </w:tcPr>
          <w:p w14:paraId="39B2E6F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13</w:t>
            </w:r>
          </w:p>
        </w:tc>
      </w:tr>
      <w:tr w:rsidR="000B25FD" w:rsidRPr="000B25FD" w14:paraId="499458B4" w14:textId="77777777" w:rsidTr="0021625E">
        <w:trPr>
          <w:trHeight w:val="47"/>
          <w:jc w:val="center"/>
        </w:trPr>
        <w:tc>
          <w:tcPr>
            <w:tcW w:w="828" w:type="dxa"/>
            <w:shd w:val="clear" w:color="auto" w:fill="auto"/>
          </w:tcPr>
          <w:p w14:paraId="755A2876"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w:t>
            </w:r>
          </w:p>
        </w:tc>
        <w:tc>
          <w:tcPr>
            <w:tcW w:w="3773" w:type="dxa"/>
            <w:shd w:val="clear" w:color="auto" w:fill="auto"/>
          </w:tcPr>
          <w:p w14:paraId="1ECF2A42"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17</w:t>
            </w:r>
          </w:p>
        </w:tc>
        <w:tc>
          <w:tcPr>
            <w:tcW w:w="3774" w:type="dxa"/>
          </w:tcPr>
          <w:p w14:paraId="0C94F554"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20</w:t>
            </w:r>
          </w:p>
        </w:tc>
      </w:tr>
      <w:tr w:rsidR="000B25FD" w:rsidRPr="000B25FD" w14:paraId="484BAE97" w14:textId="77777777" w:rsidTr="0021625E">
        <w:trPr>
          <w:jc w:val="center"/>
        </w:trPr>
        <w:tc>
          <w:tcPr>
            <w:tcW w:w="828" w:type="dxa"/>
            <w:shd w:val="clear" w:color="auto" w:fill="auto"/>
          </w:tcPr>
          <w:p w14:paraId="5B1BCC47"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3</w:t>
            </w:r>
          </w:p>
        </w:tc>
        <w:tc>
          <w:tcPr>
            <w:tcW w:w="3773" w:type="dxa"/>
            <w:shd w:val="clear" w:color="auto" w:fill="auto"/>
          </w:tcPr>
          <w:p w14:paraId="5478A64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20</w:t>
            </w:r>
          </w:p>
        </w:tc>
        <w:tc>
          <w:tcPr>
            <w:tcW w:w="3774" w:type="dxa"/>
          </w:tcPr>
          <w:p w14:paraId="339077AB" w14:textId="77777777" w:rsidR="000B25FD" w:rsidRPr="000B25FD" w:rsidRDefault="000B25FD" w:rsidP="0021625E">
            <w:pPr>
              <w:pStyle w:val="TAC"/>
              <w:rPr>
                <w:rFonts w:ascii="Times New Roman" w:eastAsia="Batang" w:hAnsi="Times New Roman"/>
                <w:color w:val="000000"/>
                <w:sz w:val="20"/>
                <w:lang w:val="en-GB"/>
              </w:rPr>
            </w:pPr>
            <w:r w:rsidRPr="000B25FD">
              <w:rPr>
                <w:rFonts w:ascii="Times New Roman" w:eastAsia="Batang" w:hAnsi="Times New Roman"/>
                <w:color w:val="000000"/>
                <w:sz w:val="20"/>
                <w:lang w:val="en-GB"/>
              </w:rPr>
              <w:t>24</w:t>
            </w:r>
          </w:p>
        </w:tc>
      </w:tr>
    </w:tbl>
    <w:p w14:paraId="302300DA" w14:textId="7C49DD40" w:rsidR="000B25FD" w:rsidRDefault="000B25FD" w:rsidP="000B25FD">
      <w:pPr>
        <w:jc w:val="both"/>
        <w:rPr>
          <w:lang w:val="en-GB"/>
        </w:rPr>
      </w:pPr>
    </w:p>
    <w:p w14:paraId="38B9ED57" w14:textId="2E1E9D8F" w:rsidR="00D95009" w:rsidRDefault="00D95009" w:rsidP="000B25FD">
      <w:pPr>
        <w:pStyle w:val="ListParagraph"/>
        <w:numPr>
          <w:ilvl w:val="0"/>
          <w:numId w:val="38"/>
        </w:numPr>
        <w:jc w:val="both"/>
        <w:rPr>
          <w:rFonts w:ascii="Times New Roman" w:hAnsi="Times New Roman"/>
          <w:sz w:val="20"/>
          <w:lang w:val="en-GB"/>
        </w:rPr>
      </w:pPr>
      <w:r w:rsidRPr="00D95009">
        <w:rPr>
          <w:rFonts w:ascii="Times New Roman" w:hAnsi="Times New Roman"/>
          <w:b/>
          <w:sz w:val="20"/>
          <w:lang w:val="en-GB"/>
        </w:rPr>
        <w:t>Observation A:</w:t>
      </w:r>
      <w:r w:rsidRPr="00D95009">
        <w:rPr>
          <w:rFonts w:ascii="Times New Roman" w:hAnsi="Times New Roman"/>
          <w:sz w:val="20"/>
          <w:lang w:val="en-GB"/>
        </w:rPr>
        <w:t xml:space="preserve"> With the limitations captured under Example #1, </w:t>
      </w:r>
      <w:proofErr w:type="spellStart"/>
      <w:r w:rsidRPr="00D95009">
        <w:rPr>
          <w:rFonts w:ascii="Times New Roman" w:hAnsi="Times New Roman"/>
          <w:sz w:val="20"/>
          <w:lang w:val="en-GB"/>
        </w:rPr>
        <w:t>eMBB</w:t>
      </w:r>
      <w:proofErr w:type="spellEnd"/>
      <w:r w:rsidRPr="00D95009">
        <w:rPr>
          <w:rFonts w:ascii="Times New Roman" w:hAnsi="Times New Roman"/>
          <w:sz w:val="20"/>
          <w:lang w:val="en-GB"/>
        </w:rPr>
        <w:t xml:space="preserve"> and URLLC cannot be multiplexed on the same serving cell efficiently. </w:t>
      </w:r>
      <w:proofErr w:type="gramStart"/>
      <w:r w:rsidRPr="00D95009">
        <w:rPr>
          <w:rFonts w:ascii="Times New Roman" w:hAnsi="Times New Roman"/>
          <w:sz w:val="20"/>
          <w:lang w:val="en-GB"/>
        </w:rPr>
        <w:t>In particular, assuming</w:t>
      </w:r>
      <w:proofErr w:type="gramEnd"/>
      <w:r w:rsidRPr="00D95009">
        <w:rPr>
          <w:rFonts w:ascii="Times New Roman" w:hAnsi="Times New Roman"/>
          <w:sz w:val="20"/>
          <w:lang w:val="en-GB"/>
        </w:rPr>
        <w:t xml:space="preserve"> large packet sizes for </w:t>
      </w:r>
      <w:proofErr w:type="spellStart"/>
      <w:r w:rsidRPr="00D95009">
        <w:rPr>
          <w:rFonts w:ascii="Times New Roman" w:hAnsi="Times New Roman"/>
          <w:sz w:val="20"/>
          <w:lang w:val="en-GB"/>
        </w:rPr>
        <w:t>eMBB</w:t>
      </w:r>
      <w:proofErr w:type="spellEnd"/>
      <w:r w:rsidRPr="00D95009">
        <w:rPr>
          <w:rFonts w:ascii="Times New Roman" w:hAnsi="Times New Roman"/>
          <w:sz w:val="20"/>
          <w:lang w:val="en-GB"/>
        </w:rPr>
        <w:t xml:space="preserve">,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678F476C" w14:textId="77777777" w:rsidR="00D95009" w:rsidRPr="00D95009" w:rsidRDefault="00D95009" w:rsidP="00D95009">
      <w:pPr>
        <w:pStyle w:val="ListParagraph"/>
        <w:jc w:val="both"/>
        <w:rPr>
          <w:rFonts w:ascii="Times New Roman" w:hAnsi="Times New Roman"/>
          <w:sz w:val="20"/>
          <w:lang w:val="en-GB"/>
        </w:rPr>
      </w:pPr>
    </w:p>
    <w:p w14:paraId="79A6709A" w14:textId="45527633" w:rsidR="0091205C" w:rsidRDefault="000B25FD" w:rsidP="000B25FD">
      <w:pPr>
        <w:pStyle w:val="ListParagraph"/>
        <w:numPr>
          <w:ilvl w:val="0"/>
          <w:numId w:val="37"/>
        </w:numPr>
        <w:jc w:val="both"/>
        <w:rPr>
          <w:rFonts w:ascii="Times New Roman" w:hAnsi="Times New Roman"/>
          <w:sz w:val="20"/>
          <w:lang w:val="en-GB"/>
        </w:rPr>
      </w:pPr>
      <w:r w:rsidRPr="000B25FD">
        <w:rPr>
          <w:rFonts w:ascii="Times New Roman" w:hAnsi="Times New Roman"/>
          <w:b/>
          <w:sz w:val="20"/>
          <w:u w:val="single"/>
          <w:lang w:val="en-GB"/>
        </w:rPr>
        <w:t xml:space="preserve">Example </w:t>
      </w:r>
      <w:r w:rsidR="006D10DA">
        <w:rPr>
          <w:rFonts w:ascii="Times New Roman" w:hAnsi="Times New Roman"/>
          <w:b/>
          <w:sz w:val="20"/>
          <w:u w:val="single"/>
          <w:lang w:val="en-GB"/>
        </w:rPr>
        <w:t>#</w:t>
      </w:r>
      <w:r w:rsidRPr="000B25FD">
        <w:rPr>
          <w:rFonts w:ascii="Times New Roman" w:hAnsi="Times New Roman"/>
          <w:b/>
          <w:sz w:val="20"/>
          <w:u w:val="single"/>
          <w:lang w:val="en-GB"/>
        </w:rPr>
        <w:t>2:</w:t>
      </w:r>
      <w:r w:rsidRPr="000B25FD">
        <w:rPr>
          <w:rFonts w:ascii="Times New Roman" w:hAnsi="Times New Roman"/>
          <w:sz w:val="20"/>
          <w:lang w:val="en-GB"/>
        </w:rPr>
        <w:t xml:space="preserve"> In Rel. 15, in case a long type-A PDSCH without additional DMRS is followed by a type-B PDSCH, the minimum processing timing of the type-B channel is padded such that the effective N1 value for both channels is identical</w:t>
      </w:r>
      <w:r w:rsidR="00D95009">
        <w:rPr>
          <w:rFonts w:ascii="Times New Roman" w:hAnsi="Times New Roman"/>
          <w:sz w:val="20"/>
          <w:lang w:val="en-GB"/>
        </w:rPr>
        <w:t>.</w:t>
      </w:r>
    </w:p>
    <w:p w14:paraId="078D607E" w14:textId="77777777" w:rsidR="00D95009" w:rsidRDefault="00D95009" w:rsidP="00D95009">
      <w:pPr>
        <w:pStyle w:val="ListParagraph"/>
        <w:jc w:val="both"/>
        <w:rPr>
          <w:rFonts w:ascii="Times New Roman" w:hAnsi="Times New Roman"/>
          <w:sz w:val="20"/>
          <w:lang w:val="en-GB"/>
        </w:rPr>
      </w:pPr>
    </w:p>
    <w:p w14:paraId="0C1D12A8" w14:textId="77777777" w:rsidR="00D95009" w:rsidRDefault="00D95009" w:rsidP="00D95009">
      <w:pPr>
        <w:pStyle w:val="ListParagraph"/>
        <w:numPr>
          <w:ilvl w:val="0"/>
          <w:numId w:val="37"/>
        </w:numPr>
        <w:jc w:val="both"/>
        <w:rPr>
          <w:rFonts w:ascii="Times New Roman" w:hAnsi="Times New Roman"/>
          <w:sz w:val="20"/>
          <w:lang w:val="en-GB"/>
        </w:rPr>
      </w:pPr>
      <w:r w:rsidRPr="00B72C70">
        <w:rPr>
          <w:rFonts w:ascii="Times New Roman" w:hAnsi="Times New Roman"/>
          <w:b/>
          <w:sz w:val="20"/>
          <w:lang w:val="en-GB"/>
        </w:rPr>
        <w:t xml:space="preserve">Observation </w:t>
      </w:r>
      <w:r>
        <w:rPr>
          <w:rFonts w:ascii="Times New Roman" w:hAnsi="Times New Roman"/>
          <w:b/>
          <w:sz w:val="20"/>
          <w:lang w:val="en-GB"/>
        </w:rPr>
        <w:t>B</w:t>
      </w:r>
      <w:r w:rsidRPr="00B72C70">
        <w:rPr>
          <w:rFonts w:ascii="Times New Roman" w:hAnsi="Times New Roman"/>
          <w:b/>
          <w:sz w:val="20"/>
          <w:lang w:val="en-GB"/>
        </w:rPr>
        <w:t>:</w:t>
      </w:r>
      <w:r>
        <w:rPr>
          <w:rFonts w:ascii="Times New Roman" w:hAnsi="Times New Roman"/>
          <w:sz w:val="20"/>
          <w:lang w:val="en-GB"/>
        </w:rPr>
        <w:t xml:space="preserve"> With the limitations captured under Example #2, the same conclusion as for observation #1 can be drawn. </w:t>
      </w:r>
    </w:p>
    <w:p w14:paraId="526177D8" w14:textId="77777777" w:rsidR="00D95009" w:rsidRPr="00D95009" w:rsidRDefault="00D95009" w:rsidP="00D95009">
      <w:pPr>
        <w:pStyle w:val="ListParagraph"/>
        <w:rPr>
          <w:b/>
          <w:u w:val="single"/>
          <w:lang w:val="en-GB"/>
        </w:rPr>
      </w:pPr>
    </w:p>
    <w:p w14:paraId="4FF33BAB" w14:textId="77777777" w:rsidR="00D95009" w:rsidRPr="00D95009" w:rsidRDefault="000B25FD" w:rsidP="00D95009">
      <w:pPr>
        <w:pStyle w:val="ListParagraph"/>
        <w:numPr>
          <w:ilvl w:val="0"/>
          <w:numId w:val="37"/>
        </w:numPr>
        <w:jc w:val="both"/>
        <w:rPr>
          <w:rFonts w:ascii="Times New Roman" w:hAnsi="Times New Roman"/>
          <w:sz w:val="18"/>
          <w:lang w:val="en-GB"/>
        </w:rPr>
      </w:pPr>
      <w:r w:rsidRPr="00D95009">
        <w:rPr>
          <w:rFonts w:ascii="Times New Roman" w:hAnsi="Times New Roman"/>
          <w:b/>
          <w:sz w:val="20"/>
          <w:u w:val="single"/>
          <w:lang w:val="en-GB"/>
        </w:rPr>
        <w:t xml:space="preserve">Example </w:t>
      </w:r>
      <w:r w:rsidR="006D10DA" w:rsidRPr="00D95009">
        <w:rPr>
          <w:rFonts w:ascii="Times New Roman" w:hAnsi="Times New Roman"/>
          <w:b/>
          <w:sz w:val="20"/>
          <w:u w:val="single"/>
          <w:lang w:val="en-GB"/>
        </w:rPr>
        <w:t>#</w:t>
      </w:r>
      <w:r w:rsidRPr="00D95009">
        <w:rPr>
          <w:rFonts w:ascii="Times New Roman" w:hAnsi="Times New Roman"/>
          <w:b/>
          <w:sz w:val="20"/>
          <w:u w:val="single"/>
          <w:lang w:val="en-GB"/>
        </w:rPr>
        <w:t>3:</w:t>
      </w:r>
      <w:r w:rsidRPr="00D95009">
        <w:rPr>
          <w:rFonts w:ascii="Times New Roman" w:hAnsi="Times New Roman"/>
          <w:sz w:val="20"/>
          <w:lang w:val="en-GB"/>
        </w:rPr>
        <w:t xml:space="preserve"> </w:t>
      </w:r>
      <w:r w:rsidR="006F52DB" w:rsidRPr="00D95009">
        <w:rPr>
          <w:rFonts w:ascii="Times New Roman" w:hAnsi="Times New Roman"/>
          <w:sz w:val="20"/>
          <w:lang w:val="en-GB"/>
        </w:rPr>
        <w:t>If processing ca</w:t>
      </w:r>
      <w:r w:rsidR="006D10DA" w:rsidRPr="00D95009">
        <w:rPr>
          <w:rFonts w:ascii="Times New Roman" w:hAnsi="Times New Roman"/>
          <w:sz w:val="20"/>
          <w:lang w:val="en-GB"/>
        </w:rPr>
        <w:t xml:space="preserve">pability #2 is supported by a UE and configured on a serving cell via the RRC parameter </w:t>
      </w:r>
      <w:r w:rsidR="006D10DA" w:rsidRPr="00D95009">
        <w:rPr>
          <w:rFonts w:ascii="Times New Roman" w:hAnsi="Times New Roman"/>
          <w:i/>
          <w:iCs/>
          <w:sz w:val="20"/>
        </w:rPr>
        <w:t xml:space="preserve">processingType2Enabled, </w:t>
      </w:r>
      <w:r w:rsidR="006D10DA" w:rsidRPr="00D95009">
        <w:rPr>
          <w:rFonts w:ascii="Times New Roman" w:hAnsi="Times New Roman"/>
          <w:iCs/>
          <w:sz w:val="20"/>
        </w:rPr>
        <w:t xml:space="preserve">all the channels should follow the same timeline. </w:t>
      </w:r>
    </w:p>
    <w:p w14:paraId="4144DFF8" w14:textId="77777777" w:rsidR="00D95009" w:rsidRPr="00D95009" w:rsidRDefault="00D95009" w:rsidP="00D95009">
      <w:pPr>
        <w:pStyle w:val="ListParagraph"/>
        <w:rPr>
          <w:b/>
          <w:lang w:val="en-GB"/>
        </w:rPr>
      </w:pPr>
    </w:p>
    <w:p w14:paraId="5D998CD3" w14:textId="369841D2" w:rsidR="0084542D" w:rsidRPr="00D95009" w:rsidRDefault="00D95009" w:rsidP="00D95009">
      <w:pPr>
        <w:pStyle w:val="ListParagraph"/>
        <w:numPr>
          <w:ilvl w:val="0"/>
          <w:numId w:val="37"/>
        </w:numPr>
        <w:jc w:val="both"/>
        <w:rPr>
          <w:rFonts w:ascii="Times New Roman" w:hAnsi="Times New Roman"/>
          <w:sz w:val="16"/>
          <w:lang w:val="en-GB"/>
        </w:rPr>
      </w:pPr>
      <w:r w:rsidRPr="00D95009">
        <w:rPr>
          <w:rFonts w:ascii="Times New Roman" w:hAnsi="Times New Roman"/>
          <w:b/>
          <w:sz w:val="20"/>
          <w:lang w:val="en-GB"/>
        </w:rPr>
        <w:t>Observation C:</w:t>
      </w:r>
      <w:r w:rsidRPr="00D95009">
        <w:rPr>
          <w:rFonts w:ascii="Times New Roman" w:hAnsi="Times New Roman"/>
          <w:sz w:val="20"/>
          <w:lang w:val="en-GB"/>
        </w:rPr>
        <w:t xml:space="preserve"> When timing capability #2 is configured for a cell, additional DMRS cannot be configured; hence, for long allocations, which are suitable for </w:t>
      </w:r>
      <w:proofErr w:type="spellStart"/>
      <w:r w:rsidRPr="00D95009">
        <w:rPr>
          <w:rFonts w:ascii="Times New Roman" w:hAnsi="Times New Roman"/>
          <w:sz w:val="20"/>
          <w:lang w:val="en-GB"/>
        </w:rPr>
        <w:t>eMBB</w:t>
      </w:r>
      <w:proofErr w:type="spellEnd"/>
      <w:r w:rsidRPr="00D95009">
        <w:rPr>
          <w:rFonts w:ascii="Times New Roman" w:hAnsi="Times New Roman"/>
          <w:sz w:val="20"/>
          <w:lang w:val="en-GB"/>
        </w:rPr>
        <w:t xml:space="preserve"> large packet sizes, the channel estimation will be impacted.</w:t>
      </w:r>
    </w:p>
    <w:p w14:paraId="503C150D" w14:textId="77777777" w:rsidR="00D95009" w:rsidRPr="00D95009" w:rsidRDefault="00D95009" w:rsidP="00D95009">
      <w:pPr>
        <w:pStyle w:val="ListParagraph"/>
        <w:rPr>
          <w:rFonts w:ascii="Times New Roman" w:hAnsi="Times New Roman"/>
          <w:sz w:val="16"/>
          <w:lang w:val="en-GB"/>
        </w:rPr>
      </w:pPr>
    </w:p>
    <w:p w14:paraId="0A21DD86" w14:textId="77777777" w:rsidR="00D95009" w:rsidRPr="00D95009" w:rsidRDefault="00D95009" w:rsidP="00D95009">
      <w:pPr>
        <w:pStyle w:val="ListParagraph"/>
        <w:jc w:val="both"/>
        <w:rPr>
          <w:rFonts w:ascii="Times New Roman" w:hAnsi="Times New Roman"/>
          <w:sz w:val="16"/>
          <w:lang w:val="en-GB"/>
        </w:rPr>
      </w:pPr>
    </w:p>
    <w:p w14:paraId="56304E09" w14:textId="621E6EC2" w:rsidR="006D10DA" w:rsidRDefault="006D10DA" w:rsidP="006D10DA">
      <w:pPr>
        <w:jc w:val="both"/>
        <w:rPr>
          <w:lang w:val="en-GB"/>
        </w:rPr>
      </w:pPr>
      <w:r>
        <w:rPr>
          <w:lang w:val="en-GB"/>
        </w:rPr>
        <w:t>All the configuration limitations mentioned above are to avoid the pipelining issues at the UE side. An example of the pipelining different tasks under Example #1 is illustrated below:</w:t>
      </w:r>
    </w:p>
    <w:p w14:paraId="1806DD5C" w14:textId="77777777" w:rsidR="006D10DA" w:rsidRDefault="006D10DA" w:rsidP="006D10DA">
      <w:pPr>
        <w:keepNext/>
        <w:jc w:val="center"/>
      </w:pPr>
      <w:r>
        <w:rPr>
          <w:noProof/>
          <w:szCs w:val="22"/>
        </w:rPr>
        <w:lastRenderedPageBreak/>
        <w:drawing>
          <wp:inline distT="0" distB="0" distL="0" distR="0" wp14:anchorId="664F3561" wp14:editId="78BB4A86">
            <wp:extent cx="2940837" cy="3453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3212" cy="3468414"/>
                    </a:xfrm>
                    <a:prstGeom prst="rect">
                      <a:avLst/>
                    </a:prstGeom>
                    <a:noFill/>
                    <a:ln>
                      <a:noFill/>
                    </a:ln>
                  </pic:spPr>
                </pic:pic>
              </a:graphicData>
            </a:graphic>
          </wp:inline>
        </w:drawing>
      </w:r>
    </w:p>
    <w:p w14:paraId="12A504F8" w14:textId="6461FB79" w:rsidR="006D10DA" w:rsidRDefault="006D10DA" w:rsidP="006D10DA">
      <w:pPr>
        <w:pStyle w:val="Caption"/>
        <w:jc w:val="center"/>
      </w:pPr>
      <w:r>
        <w:t xml:space="preserve">Figure </w:t>
      </w:r>
      <w:r w:rsidR="00FE78E6">
        <w:rPr>
          <w:noProof/>
        </w:rPr>
        <w:fldChar w:fldCharType="begin"/>
      </w:r>
      <w:r w:rsidR="00FE78E6">
        <w:rPr>
          <w:noProof/>
        </w:rPr>
        <w:instrText xml:space="preserve"> SEQ Figure \* ARABIC </w:instrText>
      </w:r>
      <w:r w:rsidR="00FE78E6">
        <w:rPr>
          <w:noProof/>
        </w:rPr>
        <w:fldChar w:fldCharType="separate"/>
      </w:r>
      <w:r>
        <w:rPr>
          <w:noProof/>
        </w:rPr>
        <w:t>1</w:t>
      </w:r>
      <w:r w:rsidR="00FE78E6">
        <w:rPr>
          <w:noProof/>
        </w:rPr>
        <w:fldChar w:fldCharType="end"/>
      </w:r>
      <w:r>
        <w:t>: Illustration of processing pipelining at the UE under Example #1</w:t>
      </w:r>
      <w:r w:rsidR="003C6743">
        <w:t xml:space="preserve"> for SCS = 30KHz</w:t>
      </w:r>
      <w:r>
        <w:t>.</w:t>
      </w:r>
    </w:p>
    <w:p w14:paraId="452E3255" w14:textId="184DB435" w:rsidR="006D10DA" w:rsidRDefault="006D10DA" w:rsidP="006D10DA">
      <w:pPr>
        <w:rPr>
          <w:lang w:val="en-GB"/>
        </w:rPr>
      </w:pPr>
    </w:p>
    <w:p w14:paraId="25EEC3B6" w14:textId="1DB3D341" w:rsidR="007C3E52" w:rsidRPr="00D95009" w:rsidRDefault="006D10DA" w:rsidP="00D95009">
      <w:pPr>
        <w:jc w:val="both"/>
        <w:rPr>
          <w:lang w:val="en-GB"/>
        </w:rPr>
      </w:pPr>
      <w:r>
        <w:rPr>
          <w:lang w:val="en-GB"/>
        </w:rPr>
        <w:t>As shown in Figure 1, the timelines and the configuration limitations of NR Rel. 15 are devised such that one processing block is used for processing one channel at a time, and all channels can meet their indicated timeline.</w:t>
      </w:r>
    </w:p>
    <w:p w14:paraId="6A5F36AC" w14:textId="3ADA31BB" w:rsidR="007706C5" w:rsidRDefault="007706C5" w:rsidP="007706C5">
      <w:pPr>
        <w:jc w:val="both"/>
        <w:rPr>
          <w:lang w:val="en-GB"/>
        </w:rPr>
      </w:pPr>
      <w:r>
        <w:rPr>
          <w:lang w:val="en-GB"/>
        </w:rPr>
        <w:t xml:space="preserve">To summaize, the importance of allowing different timeline configurations </w:t>
      </w:r>
      <w:r w:rsidR="00C95000">
        <w:rPr>
          <w:lang w:val="en-GB"/>
        </w:rPr>
        <w:t xml:space="preserve">is </w:t>
      </w:r>
      <w:r w:rsidR="00DF1243">
        <w:rPr>
          <w:lang w:val="en-GB"/>
        </w:rPr>
        <w:t>to let each channel follow the processing timeline that is appropriate for it; the short PDSCH/PUSCH should follow the faster timeline, e.g., the fast capability #1 or capability #2</w:t>
      </w:r>
      <w:r w:rsidR="00DA7B22">
        <w:rPr>
          <w:lang w:val="en-GB"/>
        </w:rPr>
        <w:t xml:space="preserve"> which are more suitable for URLLC applications</w:t>
      </w:r>
      <w:r w:rsidR="00DF1243">
        <w:rPr>
          <w:lang w:val="en-GB"/>
        </w:rPr>
        <w:t xml:space="preserve">, while on the same serving cell, the long channel should be able to follow the slow timeline, e.g., the slow capability #1. </w:t>
      </w:r>
    </w:p>
    <w:p w14:paraId="15543C1A" w14:textId="177820A0" w:rsidR="00DF1243" w:rsidRDefault="00DF1243" w:rsidP="007706C5">
      <w:pPr>
        <w:jc w:val="both"/>
        <w:rPr>
          <w:b/>
          <w:lang w:val="en-GB"/>
        </w:rPr>
      </w:pPr>
      <w:r w:rsidRPr="00DF1243">
        <w:rPr>
          <w:b/>
          <w:lang w:val="en-GB"/>
        </w:rPr>
        <w:t>Observation 1: From the operation point of view, if multiple processing tim</w:t>
      </w:r>
      <w:r w:rsidR="00990941">
        <w:rPr>
          <w:b/>
          <w:lang w:val="en-GB"/>
        </w:rPr>
        <w:t>ing</w:t>
      </w:r>
      <w:r w:rsidRPr="00DF1243">
        <w:rPr>
          <w:b/>
          <w:lang w:val="en-GB"/>
        </w:rPr>
        <w:t xml:space="preserve"> capabilities are allowed on the same serving cell, the timeline for each channel can be set based on its allocation and its particular use case. </w:t>
      </w:r>
      <w:r w:rsidR="00B05B91">
        <w:rPr>
          <w:b/>
          <w:lang w:val="en-GB"/>
        </w:rPr>
        <w:t xml:space="preserve">On the same serving cell, URLLC can be scheduled to follow a fast timeline and eMBB can be scheduled to follow a slow timeline. </w:t>
      </w:r>
    </w:p>
    <w:p w14:paraId="139E6651" w14:textId="590C26CB" w:rsidR="00DF1243" w:rsidRDefault="00DF1243" w:rsidP="007706C5">
      <w:pPr>
        <w:jc w:val="both"/>
        <w:rPr>
          <w:lang w:val="en-GB"/>
        </w:rPr>
      </w:pPr>
      <w:r w:rsidRPr="00DF1243">
        <w:rPr>
          <w:lang w:val="en-GB"/>
        </w:rPr>
        <w:t xml:space="preserve">In addition, and even more importantly, allowing for different timing capabilities to be used on the same serving cell </w:t>
      </w:r>
      <w:r>
        <w:rPr>
          <w:lang w:val="en-GB"/>
        </w:rPr>
        <w:t xml:space="preserve">will be crticial to some network deployments. As an example, consider a case that an operator has two CCs in a given band/band combinations. </w:t>
      </w:r>
      <w:r w:rsidR="00990941">
        <w:rPr>
          <w:lang w:val="en-GB"/>
        </w:rPr>
        <w:t xml:space="preserve">If one UE has to support different services efficiently, different services should be configured and scheduled on different cells; for example, for one UE, eMBB should be scheduled on one CC and URLLC on another CC. However, if different timeline capabilities are allowed to be mixed on the serving cell, the same UE can be enabled to support eMBB on both CCs and URLLC on both CCs without interrupting any of the services (This is feasible under Solution 3 and will be elaborated in the subsequent section.) </w:t>
      </w:r>
    </w:p>
    <w:p w14:paraId="2DDDBD40" w14:textId="7FB3EE7C" w:rsidR="00990941" w:rsidRDefault="00990941" w:rsidP="007706C5">
      <w:pPr>
        <w:jc w:val="both"/>
        <w:rPr>
          <w:b/>
          <w:lang w:val="en-GB"/>
        </w:rPr>
      </w:pPr>
      <w:r w:rsidRPr="00990941">
        <w:rPr>
          <w:b/>
          <w:lang w:val="en-GB"/>
        </w:rPr>
        <w:t xml:space="preserve">Observation 2: From the deployment point of view, if multiple processing timing capabalities are allowed on the same serving cell, a larger aggregated bandwidth can be used for supporting different services. </w:t>
      </w:r>
    </w:p>
    <w:p w14:paraId="3ACA5A0A" w14:textId="30BAF84E" w:rsidR="00B05B91" w:rsidRDefault="00B05B91" w:rsidP="007706C5">
      <w:pPr>
        <w:jc w:val="both"/>
        <w:rPr>
          <w:lang w:val="en-GB"/>
        </w:rPr>
      </w:pPr>
      <w:r w:rsidRPr="00B05B91">
        <w:rPr>
          <w:lang w:val="en-GB"/>
        </w:rPr>
        <w:t xml:space="preserve">To conclude, performing </w:t>
      </w:r>
      <w:r>
        <w:rPr>
          <w:lang w:val="en-GB"/>
        </w:rPr>
        <w:t xml:space="preserve">the </w:t>
      </w:r>
      <w:r w:rsidRPr="00B05B91">
        <w:rPr>
          <w:lang w:val="en-GB"/>
        </w:rPr>
        <w:t>out-of-order operation, while not allowing for mixing different timeline capabilities on the same serving cell does not achieve the main objective of the out-of-order operation. The main objective is to being able to schedule URLLC in an out-of-order fashion, while allowing it to have a fast processing timeline. Performing the out-of-order operation under the Rel. 15 limitations does not reduce the URLLC latency.</w:t>
      </w:r>
    </w:p>
    <w:p w14:paraId="0FD4A733" w14:textId="39D8E349" w:rsidR="00B05B91" w:rsidRPr="00B05B91" w:rsidRDefault="00B05B91" w:rsidP="007706C5">
      <w:pPr>
        <w:jc w:val="both"/>
        <w:rPr>
          <w:b/>
          <w:lang w:val="en-GB"/>
        </w:rPr>
      </w:pPr>
      <w:r w:rsidRPr="00B05B91">
        <w:rPr>
          <w:b/>
          <w:lang w:val="en-GB"/>
        </w:rPr>
        <w:t>Proposal</w:t>
      </w:r>
      <w:r>
        <w:rPr>
          <w:b/>
          <w:lang w:val="en-GB"/>
        </w:rPr>
        <w:t xml:space="preserve"> 1</w:t>
      </w:r>
      <w:r w:rsidRPr="00B05B91">
        <w:rPr>
          <w:b/>
          <w:lang w:val="en-GB"/>
        </w:rPr>
        <w:t>: In Rel. 15, channels with different timing capabilities should be allowed to be scheduled on the serving cell concurrently. Channels associated with different timing capabilities (i.e., slow cap#1 vs. fast cap#1 and cap#1 vs. cap#2) can be scheduled out of order.</w:t>
      </w:r>
    </w:p>
    <w:p w14:paraId="658CA675" w14:textId="2791F7DF" w:rsidR="0091205C" w:rsidRPr="00DE44D6" w:rsidRDefault="0091205C" w:rsidP="0091205C">
      <w:pPr>
        <w:pStyle w:val="Heading1"/>
        <w:jc w:val="both"/>
        <w:rPr>
          <w:rFonts w:ascii="Times New Roman" w:hAnsi="Times New Roman"/>
        </w:rPr>
      </w:pPr>
      <w:r>
        <w:rPr>
          <w:rFonts w:ascii="Times New Roman" w:hAnsi="Times New Roman"/>
        </w:rPr>
        <w:lastRenderedPageBreak/>
        <w:t xml:space="preserve">Supporting Out-of-Order HARQ and Uplink Scheduling </w:t>
      </w:r>
    </w:p>
    <w:p w14:paraId="4724B04F" w14:textId="2CFDE0B9" w:rsidR="0091205C" w:rsidRDefault="00EF376B" w:rsidP="00A8226D">
      <w:pPr>
        <w:jc w:val="both"/>
        <w:rPr>
          <w:lang w:val="en-GB"/>
        </w:rPr>
      </w:pPr>
      <w:r>
        <w:rPr>
          <w:lang w:val="en-GB"/>
        </w:rPr>
        <w:t xml:space="preserve">Considering proposal 1, and assuming different timing capabilities can be mixed on the same serving cell, this section compares solution 1-4 </w:t>
      </w:r>
      <w:r w:rsidR="00A8226D">
        <w:rPr>
          <w:lang w:val="en-GB"/>
        </w:rPr>
        <w:t>listed for supporting the out-of-order operation in Rel. 16 URLLC.</w:t>
      </w:r>
    </w:p>
    <w:p w14:paraId="53670DCD" w14:textId="77777777" w:rsidR="00A8226D" w:rsidRPr="00A8226D" w:rsidRDefault="00A8226D" w:rsidP="00A8226D">
      <w:pPr>
        <w:spacing w:line="252" w:lineRule="auto"/>
        <w:jc w:val="both"/>
        <w:rPr>
          <w:b/>
          <w:bCs/>
          <w:i/>
          <w:iCs/>
          <w:szCs w:val="22"/>
        </w:rPr>
      </w:pPr>
      <w:r w:rsidRPr="00A8226D">
        <w:rPr>
          <w:b/>
          <w:bCs/>
          <w:iCs/>
          <w:szCs w:val="22"/>
          <w:u w:val="single"/>
        </w:rPr>
        <w:t>Solution 1</w:t>
      </w:r>
      <w:r w:rsidRPr="003F7A1F">
        <w:rPr>
          <w:b/>
          <w:bCs/>
          <w:iCs/>
          <w:szCs w:val="22"/>
        </w:rPr>
        <w:t>:</w:t>
      </w:r>
      <w:r w:rsidRPr="00A8226D">
        <w:rPr>
          <w:b/>
          <w:bCs/>
          <w:iCs/>
          <w:szCs w:val="22"/>
        </w:rPr>
        <w:t xml:space="preserve"> “</w:t>
      </w:r>
      <w:r w:rsidRPr="00A8226D">
        <w:rPr>
          <w:b/>
          <w:bCs/>
          <w:i/>
          <w:iCs/>
          <w:szCs w:val="22"/>
        </w:rPr>
        <w:t>The UE always processes the second PDSCH. The UE may or may not drop the processing of the first channel.”</w:t>
      </w:r>
    </w:p>
    <w:p w14:paraId="3389556E" w14:textId="77777777" w:rsidR="00A8226D" w:rsidRPr="00A8226D" w:rsidRDefault="00A8226D" w:rsidP="00A8226D">
      <w:pPr>
        <w:pStyle w:val="ListParagraph"/>
        <w:numPr>
          <w:ilvl w:val="0"/>
          <w:numId w:val="39"/>
        </w:numPr>
        <w:spacing w:line="252" w:lineRule="auto"/>
        <w:jc w:val="both"/>
        <w:rPr>
          <w:rFonts w:ascii="Times New Roman" w:hAnsi="Times New Roman"/>
          <w:bCs/>
          <w:iCs/>
          <w:sz w:val="20"/>
        </w:rPr>
      </w:pPr>
      <w:r w:rsidRPr="00A8226D">
        <w:rPr>
          <w:rFonts w:ascii="Times New Roman" w:hAnsi="Times New Roman"/>
          <w:bCs/>
          <w:iCs/>
          <w:sz w:val="20"/>
        </w:rPr>
        <w:t xml:space="preserve">As discussed during the last meeting, one drawback of this scheme is that the processing of the low priority channel is left to the UE implementation, which means that the network operation cannot be made predictable. </w:t>
      </w:r>
    </w:p>
    <w:p w14:paraId="369F1C47" w14:textId="3ABB95CC" w:rsidR="00A8226D" w:rsidRPr="00A8226D" w:rsidRDefault="00A8226D" w:rsidP="00A8226D">
      <w:pPr>
        <w:pStyle w:val="ListParagraph"/>
        <w:numPr>
          <w:ilvl w:val="0"/>
          <w:numId w:val="39"/>
        </w:numPr>
        <w:spacing w:line="252" w:lineRule="auto"/>
        <w:jc w:val="both"/>
        <w:rPr>
          <w:rFonts w:ascii="Times New Roman" w:hAnsi="Times New Roman"/>
          <w:bCs/>
          <w:iCs/>
          <w:sz w:val="20"/>
        </w:rPr>
      </w:pPr>
      <w:r w:rsidRPr="00A8226D">
        <w:rPr>
          <w:rFonts w:ascii="Times New Roman" w:hAnsi="Times New Roman"/>
          <w:bCs/>
          <w:iCs/>
          <w:sz w:val="20"/>
        </w:rPr>
        <w:t xml:space="preserve">The reason for leaving the processing of the low priority channel to the UE implementation is to avoid defining the </w:t>
      </w:r>
      <w:r w:rsidRPr="00A8226D">
        <w:rPr>
          <w:rFonts w:ascii="Times New Roman" w:hAnsi="Times New Roman"/>
          <w:bCs/>
          <w:i/>
          <w:iCs/>
          <w:sz w:val="20"/>
        </w:rPr>
        <w:t>“scheduling conditions”</w:t>
      </w:r>
      <w:r w:rsidRPr="00A8226D">
        <w:rPr>
          <w:rFonts w:ascii="Times New Roman" w:hAnsi="Times New Roman"/>
          <w:bCs/>
          <w:iCs/>
          <w:sz w:val="20"/>
        </w:rPr>
        <w:t xml:space="preserve"> under which both channels can be processed (defining such constraints is a goal of solution 4-Alt2; the complication of such an approach will be discussed later in </w:t>
      </w:r>
      <w:r>
        <w:rPr>
          <w:rFonts w:ascii="Times New Roman" w:hAnsi="Times New Roman"/>
          <w:bCs/>
          <w:iCs/>
          <w:sz w:val="20"/>
        </w:rPr>
        <w:t>this section</w:t>
      </w:r>
      <w:r w:rsidRPr="00A8226D">
        <w:rPr>
          <w:rFonts w:ascii="Times New Roman" w:hAnsi="Times New Roman"/>
          <w:bCs/>
          <w:iCs/>
          <w:sz w:val="20"/>
        </w:rPr>
        <w:t xml:space="preserve">.) Instead, the UE should internally define these constraints. Hence, it is very probable that the UEs do not even try to continue the processing of the low priority channel as soon as the PDCCH of the high priority channel is detected. This will have an impact on the eMBB performance </w:t>
      </w:r>
      <w:r>
        <w:rPr>
          <w:rFonts w:ascii="Times New Roman" w:hAnsi="Times New Roman"/>
          <w:bCs/>
          <w:iCs/>
          <w:sz w:val="20"/>
        </w:rPr>
        <w:t>and should be avoided to the extent possible</w:t>
      </w:r>
      <w:r w:rsidRPr="00A8226D">
        <w:rPr>
          <w:rFonts w:ascii="Times New Roman" w:hAnsi="Times New Roman"/>
          <w:bCs/>
          <w:iCs/>
          <w:sz w:val="20"/>
        </w:rPr>
        <w:t xml:space="preserve">. </w:t>
      </w:r>
    </w:p>
    <w:p w14:paraId="22A2DC7F" w14:textId="0F5615A2" w:rsidR="00A8226D" w:rsidRDefault="00A8226D" w:rsidP="00A8226D">
      <w:pPr>
        <w:jc w:val="both"/>
        <w:rPr>
          <w:lang w:val="en-GB"/>
        </w:rPr>
      </w:pPr>
    </w:p>
    <w:p w14:paraId="17E93EEC" w14:textId="77777777" w:rsidR="00A8226D" w:rsidRPr="00A8226D" w:rsidRDefault="00A8226D" w:rsidP="00A8226D">
      <w:pPr>
        <w:spacing w:line="252" w:lineRule="auto"/>
        <w:jc w:val="both"/>
        <w:rPr>
          <w:b/>
          <w:bCs/>
          <w:i/>
          <w:iCs/>
          <w:szCs w:val="22"/>
        </w:rPr>
      </w:pPr>
      <w:r w:rsidRPr="00A8226D">
        <w:rPr>
          <w:b/>
          <w:szCs w:val="22"/>
          <w:u w:val="single"/>
        </w:rPr>
        <w:t>Solution 2</w:t>
      </w:r>
      <w:r w:rsidRPr="003F7A1F">
        <w:rPr>
          <w:b/>
          <w:szCs w:val="22"/>
        </w:rPr>
        <w:t>:</w:t>
      </w:r>
      <w:r w:rsidRPr="00A8226D">
        <w:rPr>
          <w:szCs w:val="22"/>
        </w:rPr>
        <w:t xml:space="preserve"> </w:t>
      </w:r>
      <w:r w:rsidRPr="00A8226D">
        <w:rPr>
          <w:b/>
          <w:i/>
          <w:szCs w:val="22"/>
        </w:rPr>
        <w:t>“</w:t>
      </w:r>
      <w:r w:rsidRPr="00A8226D">
        <w:rPr>
          <w:b/>
          <w:bCs/>
          <w:i/>
          <w:iCs/>
          <w:szCs w:val="22"/>
        </w:rPr>
        <w:t>The UE processes both the first and second PDSCHs as a UE capability with no condition.”</w:t>
      </w:r>
    </w:p>
    <w:p w14:paraId="373D47C6" w14:textId="1C3EE7D8" w:rsidR="00A8226D" w:rsidRPr="00A8226D" w:rsidRDefault="00A8226D" w:rsidP="00A8226D">
      <w:pPr>
        <w:pStyle w:val="ListParagraph"/>
        <w:numPr>
          <w:ilvl w:val="0"/>
          <w:numId w:val="41"/>
        </w:numPr>
        <w:spacing w:line="252" w:lineRule="auto"/>
        <w:jc w:val="both"/>
        <w:rPr>
          <w:rFonts w:ascii="Times New Roman" w:hAnsi="Times New Roman"/>
          <w:bCs/>
          <w:iCs/>
          <w:sz w:val="18"/>
          <w:szCs w:val="20"/>
        </w:rPr>
      </w:pPr>
      <w:r w:rsidRPr="00A8226D">
        <w:rPr>
          <w:rFonts w:ascii="Times New Roman" w:hAnsi="Times New Roman"/>
          <w:bCs/>
          <w:iCs/>
          <w:sz w:val="20"/>
          <w:szCs w:val="20"/>
        </w:rPr>
        <w:t xml:space="preserve">It should be first clarified that “under no condition” means “under no new conditions as compared to Rel. 15.” </w:t>
      </w:r>
      <w:r>
        <w:rPr>
          <w:rFonts w:ascii="Times New Roman" w:hAnsi="Times New Roman"/>
          <w:bCs/>
          <w:iCs/>
          <w:sz w:val="20"/>
          <w:szCs w:val="20"/>
        </w:rPr>
        <w:t xml:space="preserve">This essentially means that the timing configuration and limitation of NR Rel. 15 should be preserved (Some example of such limitations are given in the preceding section.) </w:t>
      </w:r>
      <w:r w:rsidRPr="00A8226D">
        <w:rPr>
          <w:rFonts w:ascii="Times New Roman" w:hAnsi="Times New Roman"/>
          <w:bCs/>
          <w:iCs/>
          <w:sz w:val="20"/>
        </w:rPr>
        <w:t>Now, keeping the same constraints as those of the Rel. 15, it should be possible to switch the order of HARQ-ACK reporting</w:t>
      </w:r>
      <w:r>
        <w:rPr>
          <w:rFonts w:ascii="Times New Roman" w:hAnsi="Times New Roman"/>
          <w:bCs/>
          <w:iCs/>
          <w:sz w:val="20"/>
        </w:rPr>
        <w:t xml:space="preserve"> or PUSCH transmission</w:t>
      </w:r>
      <w:r w:rsidRPr="00A8226D">
        <w:rPr>
          <w:rFonts w:ascii="Times New Roman" w:hAnsi="Times New Roman"/>
          <w:bCs/>
          <w:iCs/>
          <w:sz w:val="20"/>
        </w:rPr>
        <w:t xml:space="preserve">. This is because from the UE perspective, the pipelining is still perfect, but the order of the HARQ-ACK reporting has been changed. Hence, besides accommodating for some additional memory to buffer the </w:t>
      </w:r>
      <w:r w:rsidR="007E1DCB">
        <w:rPr>
          <w:rFonts w:ascii="Times New Roman" w:hAnsi="Times New Roman"/>
          <w:bCs/>
          <w:iCs/>
          <w:sz w:val="20"/>
        </w:rPr>
        <w:t>low priority</w:t>
      </w:r>
      <w:r w:rsidRPr="00A8226D">
        <w:rPr>
          <w:rFonts w:ascii="Times New Roman" w:hAnsi="Times New Roman"/>
          <w:bCs/>
          <w:iCs/>
          <w:sz w:val="20"/>
        </w:rPr>
        <w:t xml:space="preserve"> HARQ-ACK</w:t>
      </w:r>
      <w:r>
        <w:rPr>
          <w:rFonts w:ascii="Times New Roman" w:hAnsi="Times New Roman"/>
          <w:bCs/>
          <w:iCs/>
          <w:sz w:val="20"/>
        </w:rPr>
        <w:t xml:space="preserve"> or </w:t>
      </w:r>
      <w:r w:rsidR="007E1DCB">
        <w:rPr>
          <w:rFonts w:ascii="Times New Roman" w:hAnsi="Times New Roman"/>
          <w:bCs/>
          <w:iCs/>
          <w:sz w:val="20"/>
        </w:rPr>
        <w:t>the low priority</w:t>
      </w:r>
      <w:r>
        <w:rPr>
          <w:rFonts w:ascii="Times New Roman" w:hAnsi="Times New Roman"/>
          <w:bCs/>
          <w:iCs/>
          <w:sz w:val="20"/>
        </w:rPr>
        <w:t xml:space="preserve"> scheduled PUSCH</w:t>
      </w:r>
      <w:r w:rsidRPr="00A8226D">
        <w:rPr>
          <w:rFonts w:ascii="Times New Roman" w:hAnsi="Times New Roman"/>
          <w:bCs/>
          <w:iCs/>
          <w:sz w:val="20"/>
        </w:rPr>
        <w:t>, it seems that no additional consideration is needed.</w:t>
      </w:r>
      <w:r>
        <w:rPr>
          <w:rFonts w:ascii="Times New Roman" w:hAnsi="Times New Roman"/>
          <w:bCs/>
          <w:iCs/>
          <w:sz w:val="20"/>
        </w:rPr>
        <w:t xml:space="preserve"> </w:t>
      </w:r>
    </w:p>
    <w:p w14:paraId="55DABE76" w14:textId="776F22D8" w:rsidR="00A8226D" w:rsidRPr="007E1DCB" w:rsidRDefault="00A8226D" w:rsidP="00A8226D">
      <w:pPr>
        <w:pStyle w:val="ListParagraph"/>
        <w:numPr>
          <w:ilvl w:val="0"/>
          <w:numId w:val="41"/>
        </w:numPr>
        <w:spacing w:line="252" w:lineRule="auto"/>
        <w:jc w:val="both"/>
        <w:rPr>
          <w:rFonts w:ascii="Times New Roman" w:hAnsi="Times New Roman"/>
          <w:bCs/>
          <w:iCs/>
          <w:sz w:val="18"/>
          <w:szCs w:val="20"/>
        </w:rPr>
      </w:pPr>
      <w:r>
        <w:rPr>
          <w:rFonts w:ascii="Times New Roman" w:hAnsi="Times New Roman"/>
          <w:bCs/>
          <w:iCs/>
          <w:sz w:val="20"/>
        </w:rPr>
        <w:t xml:space="preserve">However, if different processing timings are mixed on the same serving cell, </w:t>
      </w:r>
      <w:r w:rsidRPr="00A5490D">
        <w:rPr>
          <w:rFonts w:ascii="Times New Roman" w:hAnsi="Times New Roman"/>
          <w:bCs/>
          <w:i/>
          <w:iCs/>
          <w:sz w:val="20"/>
        </w:rPr>
        <w:t>as they should to achieve the core objective of the out-of-order operation</w:t>
      </w:r>
      <w:r>
        <w:rPr>
          <w:rFonts w:ascii="Times New Roman" w:hAnsi="Times New Roman"/>
          <w:bCs/>
          <w:iCs/>
          <w:sz w:val="20"/>
        </w:rPr>
        <w:t xml:space="preserve">, </w:t>
      </w:r>
      <w:r w:rsidR="007E1DCB">
        <w:rPr>
          <w:rFonts w:ascii="Times New Roman" w:hAnsi="Times New Roman"/>
          <w:bCs/>
          <w:iCs/>
          <w:sz w:val="20"/>
        </w:rPr>
        <w:t>UE pipelining will be impacted. In such a case, there cannot be a capability defined to support the out-of-order operation that enforces the UE to process both the low and the high prioirity channels. This fact should be obvious from the following Rel. 15 UE behavior:</w:t>
      </w:r>
    </w:p>
    <w:p w14:paraId="7D98A004" w14:textId="1FBF8286" w:rsidR="007E1DCB" w:rsidRPr="007E1DCB" w:rsidRDefault="007E1DCB" w:rsidP="00E11A59">
      <w:pPr>
        <w:pStyle w:val="ListParagraph"/>
        <w:numPr>
          <w:ilvl w:val="1"/>
          <w:numId w:val="41"/>
        </w:numPr>
        <w:spacing w:line="252" w:lineRule="auto"/>
        <w:jc w:val="both"/>
        <w:rPr>
          <w:rFonts w:ascii="Times New Roman" w:hAnsi="Times New Roman"/>
          <w:bCs/>
          <w:iCs/>
          <w:sz w:val="18"/>
          <w:szCs w:val="20"/>
        </w:rPr>
      </w:pPr>
      <w:r w:rsidRPr="007E1DCB">
        <w:rPr>
          <w:rFonts w:ascii="Times New Roman" w:hAnsi="Times New Roman"/>
          <w:bCs/>
          <w:iCs/>
          <w:sz w:val="20"/>
          <w:szCs w:val="20"/>
        </w:rPr>
        <w:t xml:space="preserve">For SCS = 30KHz, if the UE reports </w:t>
      </w:r>
      <w:r w:rsidRPr="005B00EB">
        <w:rPr>
          <w:rFonts w:ascii="Times New Roman" w:hAnsi="Times New Roman"/>
          <w:bCs/>
          <w:i/>
          <w:iCs/>
          <w:sz w:val="20"/>
          <w:szCs w:val="20"/>
        </w:rPr>
        <w:t>p</w:t>
      </w:r>
      <w:r w:rsidRPr="007E1DCB">
        <w:rPr>
          <w:rFonts w:ascii="Times New Roman" w:eastAsiaTheme="minorEastAsia" w:hAnsi="Times New Roman"/>
          <w:bCs/>
          <w:i/>
          <w:iCs/>
          <w:sz w:val="20"/>
          <w:szCs w:val="20"/>
        </w:rPr>
        <w:t>dsch-ProcessingType2-Limited</w:t>
      </w:r>
      <w:r w:rsidRPr="007E1DCB">
        <w:rPr>
          <w:rFonts w:ascii="Times New Roman" w:hAnsi="Times New Roman"/>
          <w:bCs/>
          <w:iCs/>
          <w:sz w:val="20"/>
          <w:szCs w:val="20"/>
        </w:rPr>
        <w:t>, then depending on the RB allocation, the timeline could be based on timing capability #1 or #2; if it happens that the a PDSCH has to follow capability #2, while the previous one has to follow capability #1, even though their HARQ-ACK transmissions are still in order in Rel. 15, perfect pipelining is not possible</w:t>
      </w:r>
      <w:r>
        <w:rPr>
          <w:rFonts w:ascii="Times New Roman" w:hAnsi="Times New Roman"/>
          <w:bCs/>
          <w:iCs/>
          <w:sz w:val="20"/>
          <w:szCs w:val="20"/>
        </w:rPr>
        <w:t>.</w:t>
      </w:r>
    </w:p>
    <w:p w14:paraId="43C9874A" w14:textId="4FB979B9" w:rsidR="00A8226D" w:rsidRDefault="007E1DCB" w:rsidP="00A8226D">
      <w:pPr>
        <w:pStyle w:val="ListParagraph"/>
        <w:numPr>
          <w:ilvl w:val="1"/>
          <w:numId w:val="41"/>
        </w:numPr>
        <w:spacing w:line="252" w:lineRule="auto"/>
        <w:jc w:val="both"/>
        <w:rPr>
          <w:rFonts w:ascii="Times New Roman" w:hAnsi="Times New Roman"/>
          <w:bCs/>
          <w:iCs/>
          <w:sz w:val="20"/>
          <w:szCs w:val="20"/>
        </w:rPr>
      </w:pPr>
      <w:r w:rsidRPr="007E1DCB">
        <w:rPr>
          <w:rFonts w:ascii="Times New Roman" w:hAnsi="Times New Roman"/>
          <w:bCs/>
          <w:iCs/>
          <w:sz w:val="20"/>
          <w:szCs w:val="20"/>
        </w:rPr>
        <w:t xml:space="preserve">In this example, the gap between the two PDSCHs is the minimum processing time needed to process the first PDSCH. This gap is inserted to ensure that the processing of the first PDSCH can be completed, before the processing of the second one is started. </w:t>
      </w:r>
    </w:p>
    <w:p w14:paraId="197F7E88" w14:textId="1A213268" w:rsidR="00A5490D" w:rsidRDefault="00A5490D" w:rsidP="00A5490D">
      <w:pPr>
        <w:pStyle w:val="ListParagraph"/>
        <w:numPr>
          <w:ilvl w:val="0"/>
          <w:numId w:val="41"/>
        </w:numPr>
        <w:spacing w:line="252" w:lineRule="auto"/>
        <w:jc w:val="both"/>
        <w:rPr>
          <w:rFonts w:ascii="Times New Roman" w:hAnsi="Times New Roman"/>
          <w:bCs/>
          <w:iCs/>
          <w:sz w:val="20"/>
          <w:szCs w:val="20"/>
        </w:rPr>
      </w:pPr>
      <w:r>
        <w:rPr>
          <w:rFonts w:ascii="Times New Roman" w:hAnsi="Times New Roman"/>
          <w:bCs/>
          <w:iCs/>
          <w:sz w:val="20"/>
          <w:szCs w:val="20"/>
        </w:rPr>
        <w:t xml:space="preserve">To summarize, Solution 2 does not address the UE pipelining issue when different timing capabilities are allowed on the same serving cell. </w:t>
      </w:r>
    </w:p>
    <w:p w14:paraId="12C9FCD7" w14:textId="2BC193B3" w:rsidR="00A5490D" w:rsidRDefault="00A5490D" w:rsidP="006A6775">
      <w:pPr>
        <w:tabs>
          <w:tab w:val="left" w:pos="1014"/>
        </w:tabs>
        <w:spacing w:line="252" w:lineRule="auto"/>
        <w:jc w:val="both"/>
        <w:rPr>
          <w:bCs/>
          <w:iCs/>
        </w:rPr>
      </w:pPr>
    </w:p>
    <w:p w14:paraId="07B3635F" w14:textId="1ABE14B0" w:rsidR="006A6775" w:rsidRPr="006A6775" w:rsidRDefault="006A6775" w:rsidP="006A6775">
      <w:pPr>
        <w:spacing w:line="252" w:lineRule="auto"/>
        <w:jc w:val="both"/>
        <w:rPr>
          <w:b/>
          <w:bCs/>
          <w:i/>
          <w:iCs/>
          <w:szCs w:val="22"/>
        </w:rPr>
      </w:pPr>
      <w:r w:rsidRPr="006A6775">
        <w:rPr>
          <w:b/>
          <w:bCs/>
          <w:iCs/>
          <w:szCs w:val="22"/>
          <w:u w:val="single"/>
        </w:rPr>
        <w:t>Solution 3</w:t>
      </w:r>
      <w:r w:rsidRPr="003F7A1F">
        <w:rPr>
          <w:b/>
          <w:bCs/>
          <w:iCs/>
          <w:szCs w:val="22"/>
        </w:rPr>
        <w:t>:</w:t>
      </w:r>
      <w:r w:rsidRPr="00F1344A">
        <w:rPr>
          <w:b/>
          <w:bCs/>
          <w:iCs/>
          <w:szCs w:val="22"/>
        </w:rPr>
        <w:t xml:space="preserve"> “</w:t>
      </w:r>
      <w:r w:rsidRPr="006A6775">
        <w:rPr>
          <w:b/>
          <w:bCs/>
          <w:i/>
          <w:iCs/>
          <w:szCs w:val="22"/>
        </w:rPr>
        <w:t>The UE processes both the first and second channels under some conditions, e.g. using the CA capability. The conditions are reported as a UE capability. If the conditions are not satisfied, the UE behavior is not defined.”</w:t>
      </w:r>
    </w:p>
    <w:p w14:paraId="4B34974A" w14:textId="389B7B57" w:rsidR="006A6775" w:rsidRPr="00CB6BEF" w:rsidRDefault="006A6775" w:rsidP="006A6775">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 xml:space="preserve">Considering the “true” out-of-order scenario where channels with different processing timing capabilities can be mixed on the same serving cell, Solution 3 ensures that </w:t>
      </w:r>
      <w:r w:rsidRPr="00CB6BEF">
        <w:rPr>
          <w:rFonts w:ascii="Times New Roman" w:hAnsi="Times New Roman"/>
          <w:bCs/>
          <w:i/>
          <w:iCs/>
          <w:sz w:val="20"/>
          <w:szCs w:val="20"/>
        </w:rPr>
        <w:t>both the low and high priority channels are processed by the UE.</w:t>
      </w:r>
      <w:r w:rsidRPr="006A6775">
        <w:rPr>
          <w:rFonts w:ascii="Times New Roman" w:hAnsi="Times New Roman"/>
          <w:bCs/>
          <w:iCs/>
          <w:sz w:val="20"/>
          <w:szCs w:val="20"/>
        </w:rPr>
        <w:t xml:space="preserve"> </w:t>
      </w:r>
    </w:p>
    <w:p w14:paraId="3B9CDA1C" w14:textId="77777777" w:rsidR="006A6775" w:rsidRPr="006A6775" w:rsidRDefault="006A6775" w:rsidP="006A6775">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As captured in the description of the solution, the UE reports its capability for supporting the out-of-order operation under some conditions. The conditions can be defined as follows:</w:t>
      </w:r>
    </w:p>
    <w:p w14:paraId="0B68310D" w14:textId="3631FD3C" w:rsidR="006A6775" w:rsidRDefault="006A6775" w:rsidP="00CB6BEF">
      <w:pPr>
        <w:pStyle w:val="ListParagraph"/>
        <w:numPr>
          <w:ilvl w:val="0"/>
          <w:numId w:val="43"/>
        </w:numPr>
        <w:spacing w:line="252" w:lineRule="auto"/>
        <w:ind w:left="936"/>
        <w:jc w:val="both"/>
        <w:rPr>
          <w:rFonts w:ascii="Times New Roman" w:hAnsi="Times New Roman"/>
          <w:bCs/>
          <w:iCs/>
          <w:sz w:val="20"/>
          <w:szCs w:val="20"/>
        </w:rPr>
      </w:pPr>
      <w:r w:rsidRPr="006A6775">
        <w:rPr>
          <w:rFonts w:ascii="Times New Roman" w:hAnsi="Times New Roman"/>
          <w:bCs/>
          <w:iCs/>
          <w:sz w:val="20"/>
          <w:szCs w:val="20"/>
        </w:rPr>
        <w:t>The UE reports, e.g., per band of a band combination, the number of cells that can be configured with the timing capability #1 and the number of cells that can be configured with the timing capability #2 for the UE to be able to support the out-of-order operation. As an example, let us assume that in a given BoBC</w:t>
      </w:r>
      <w:r w:rsidR="00CB6BEF">
        <w:rPr>
          <w:rFonts w:ascii="Times New Roman" w:hAnsi="Times New Roman"/>
          <w:bCs/>
          <w:iCs/>
          <w:sz w:val="20"/>
          <w:szCs w:val="20"/>
        </w:rPr>
        <w:t xml:space="preserve"> with 2 CCs</w:t>
      </w:r>
      <w:r w:rsidRPr="006A6775">
        <w:rPr>
          <w:rFonts w:ascii="Times New Roman" w:hAnsi="Times New Roman"/>
          <w:bCs/>
          <w:iCs/>
          <w:sz w:val="20"/>
          <w:szCs w:val="20"/>
        </w:rPr>
        <w:t xml:space="preserve">, the UE reports that it can support 1 CC with timing capability #1 and 1 CC with timing capability #2. Then, </w:t>
      </w:r>
      <w:r w:rsidR="00CB6BEF">
        <w:rPr>
          <w:rFonts w:ascii="Times New Roman" w:hAnsi="Times New Roman"/>
          <w:bCs/>
          <w:iCs/>
          <w:sz w:val="20"/>
          <w:szCs w:val="20"/>
        </w:rPr>
        <w:t>the following configurations are possible</w:t>
      </w:r>
      <w:r w:rsidRPr="006A6775">
        <w:rPr>
          <w:rFonts w:ascii="Times New Roman" w:hAnsi="Times New Roman"/>
          <w:bCs/>
          <w:iCs/>
          <w:sz w:val="20"/>
          <w:szCs w:val="20"/>
        </w:rPr>
        <w:t>:</w:t>
      </w:r>
    </w:p>
    <w:p w14:paraId="1C2D4B7E" w14:textId="77777777" w:rsidR="006A6775" w:rsidRPr="006A6775" w:rsidRDefault="006A6775" w:rsidP="00CB6BEF">
      <w:pPr>
        <w:pStyle w:val="ListParagraph"/>
        <w:spacing w:line="252" w:lineRule="auto"/>
        <w:ind w:left="936"/>
        <w:jc w:val="both"/>
        <w:rPr>
          <w:rFonts w:ascii="Times New Roman" w:hAnsi="Times New Roman"/>
          <w:bCs/>
          <w:iCs/>
          <w:sz w:val="20"/>
          <w:szCs w:val="20"/>
        </w:rPr>
      </w:pPr>
    </w:p>
    <w:p w14:paraId="372E8123" w14:textId="7ED702D5" w:rsidR="006A6775" w:rsidRPr="006A6775" w:rsidRDefault="006A6775" w:rsidP="00CB6BEF">
      <w:pPr>
        <w:pStyle w:val="ListParagraph"/>
        <w:numPr>
          <w:ilvl w:val="1"/>
          <w:numId w:val="43"/>
        </w:numPr>
        <w:spacing w:after="160" w:line="252" w:lineRule="auto"/>
        <w:ind w:left="1656"/>
        <w:contextualSpacing/>
        <w:jc w:val="both"/>
        <w:rPr>
          <w:rFonts w:ascii="Times New Roman" w:hAnsi="Times New Roman"/>
          <w:bCs/>
          <w:iCs/>
          <w:sz w:val="20"/>
          <w:szCs w:val="20"/>
        </w:rPr>
      </w:pPr>
      <w:r w:rsidRPr="00CB6BEF">
        <w:rPr>
          <w:rFonts w:ascii="Times New Roman" w:hAnsi="Times New Roman"/>
          <w:b/>
          <w:bCs/>
          <w:iCs/>
          <w:sz w:val="20"/>
          <w:szCs w:val="20"/>
        </w:rPr>
        <w:t>If the UE supports the CA capability</w:t>
      </w:r>
      <w:r w:rsidR="00CB6BEF">
        <w:rPr>
          <w:rFonts w:ascii="Times New Roman" w:hAnsi="Times New Roman"/>
          <w:bCs/>
          <w:iCs/>
          <w:sz w:val="20"/>
          <w:szCs w:val="20"/>
        </w:rPr>
        <w:t>:</w:t>
      </w:r>
      <w:r w:rsidRPr="006A6775">
        <w:rPr>
          <w:rFonts w:ascii="Times New Roman" w:hAnsi="Times New Roman"/>
          <w:bCs/>
          <w:iCs/>
          <w:sz w:val="20"/>
          <w:szCs w:val="20"/>
        </w:rPr>
        <w:t xml:space="preserve"> </w:t>
      </w:r>
    </w:p>
    <w:p w14:paraId="0E1CE526" w14:textId="77777777" w:rsidR="006A6775" w:rsidRPr="006A6775" w:rsidRDefault="006A6775"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sidRPr="006A6775">
        <w:rPr>
          <w:rFonts w:ascii="Times New Roman" w:hAnsi="Times New Roman"/>
          <w:bCs/>
          <w:iCs/>
          <w:sz w:val="20"/>
          <w:szCs w:val="20"/>
        </w:rPr>
        <w:t>CC0 with cap#1 and CC1 with cap#2 or</w:t>
      </w:r>
    </w:p>
    <w:p w14:paraId="058F9696" w14:textId="77777777" w:rsidR="006A6775" w:rsidRPr="006A6775" w:rsidRDefault="006A6775"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sidRPr="006A6775">
        <w:rPr>
          <w:rFonts w:ascii="Times New Roman" w:hAnsi="Times New Roman"/>
          <w:bCs/>
          <w:iCs/>
          <w:sz w:val="20"/>
          <w:szCs w:val="20"/>
        </w:rPr>
        <w:t xml:space="preserve">CC0 with cap#1 and cap#2, where the PDSCHs can be out-of-order and </w:t>
      </w:r>
      <w:r w:rsidRPr="00CB6BEF">
        <w:rPr>
          <w:rFonts w:ascii="Times New Roman" w:hAnsi="Times New Roman"/>
          <w:b/>
          <w:bCs/>
          <w:iCs/>
          <w:sz w:val="20"/>
          <w:szCs w:val="20"/>
        </w:rPr>
        <w:t>all of them will be processed</w:t>
      </w:r>
      <w:r w:rsidRPr="006A6775">
        <w:rPr>
          <w:rFonts w:ascii="Times New Roman" w:hAnsi="Times New Roman"/>
          <w:bCs/>
          <w:iCs/>
          <w:sz w:val="20"/>
          <w:szCs w:val="20"/>
        </w:rPr>
        <w:t>.</w:t>
      </w:r>
    </w:p>
    <w:p w14:paraId="78363B30" w14:textId="77777777" w:rsidR="00CB6BEF" w:rsidRDefault="006A6775" w:rsidP="00CB6BEF">
      <w:pPr>
        <w:pStyle w:val="ListParagraph"/>
        <w:numPr>
          <w:ilvl w:val="1"/>
          <w:numId w:val="43"/>
        </w:numPr>
        <w:spacing w:after="160" w:line="252" w:lineRule="auto"/>
        <w:ind w:left="1656"/>
        <w:contextualSpacing/>
        <w:jc w:val="both"/>
        <w:rPr>
          <w:rFonts w:ascii="Times New Roman" w:hAnsi="Times New Roman"/>
          <w:bCs/>
          <w:iCs/>
          <w:sz w:val="20"/>
          <w:szCs w:val="20"/>
        </w:rPr>
      </w:pPr>
      <w:r w:rsidRPr="00CB6BEF">
        <w:rPr>
          <w:rFonts w:ascii="Times New Roman" w:hAnsi="Times New Roman"/>
          <w:b/>
          <w:bCs/>
          <w:iCs/>
          <w:sz w:val="20"/>
          <w:szCs w:val="20"/>
        </w:rPr>
        <w:t>If the UE does not support the CA capability</w:t>
      </w:r>
      <w:r w:rsidR="00CB6BEF" w:rsidRPr="00CB6BEF">
        <w:rPr>
          <w:rFonts w:ascii="Times New Roman" w:hAnsi="Times New Roman"/>
          <w:b/>
          <w:bCs/>
          <w:iCs/>
          <w:sz w:val="20"/>
          <w:szCs w:val="20"/>
        </w:rPr>
        <w:t>:</w:t>
      </w:r>
    </w:p>
    <w:p w14:paraId="72794B0C" w14:textId="39B12003" w:rsidR="006A6775" w:rsidRDefault="00CB6BEF" w:rsidP="00CB6BEF">
      <w:pPr>
        <w:pStyle w:val="ListParagraph"/>
        <w:numPr>
          <w:ilvl w:val="2"/>
          <w:numId w:val="43"/>
        </w:numPr>
        <w:spacing w:after="160" w:line="252" w:lineRule="auto"/>
        <w:ind w:left="2376"/>
        <w:contextualSpacing/>
        <w:jc w:val="both"/>
        <w:rPr>
          <w:rFonts w:ascii="Times New Roman" w:hAnsi="Times New Roman"/>
          <w:bCs/>
          <w:iCs/>
          <w:sz w:val="20"/>
          <w:szCs w:val="20"/>
        </w:rPr>
      </w:pPr>
      <w:r>
        <w:rPr>
          <w:rFonts w:ascii="Times New Roman" w:hAnsi="Times New Roman"/>
          <w:bCs/>
          <w:iCs/>
          <w:sz w:val="20"/>
          <w:szCs w:val="20"/>
        </w:rPr>
        <w:t>The UE can be configured with cap#1 and cap#2 on CC0 only. Again, all the low and high priority channels will be processed by the UE.</w:t>
      </w:r>
    </w:p>
    <w:p w14:paraId="5B25E5CF" w14:textId="77777777" w:rsidR="00CB6BEF" w:rsidRPr="00CB6BEF" w:rsidRDefault="00CB6BEF" w:rsidP="00CB6BEF">
      <w:pPr>
        <w:pStyle w:val="ListParagraph"/>
        <w:spacing w:after="160" w:line="252" w:lineRule="auto"/>
        <w:ind w:left="2376"/>
        <w:contextualSpacing/>
        <w:jc w:val="both"/>
        <w:rPr>
          <w:rFonts w:ascii="Times New Roman" w:hAnsi="Times New Roman"/>
          <w:bCs/>
          <w:iCs/>
          <w:sz w:val="20"/>
          <w:szCs w:val="20"/>
        </w:rPr>
      </w:pPr>
    </w:p>
    <w:p w14:paraId="3240EFFD" w14:textId="77777777" w:rsidR="006A6775" w:rsidRPr="006A6775" w:rsidRDefault="006A6775" w:rsidP="006A6775">
      <w:pPr>
        <w:pStyle w:val="ListParagraph"/>
        <w:numPr>
          <w:ilvl w:val="0"/>
          <w:numId w:val="43"/>
        </w:numPr>
        <w:spacing w:line="252" w:lineRule="auto"/>
        <w:jc w:val="both"/>
        <w:rPr>
          <w:rFonts w:ascii="Times New Roman" w:hAnsi="Times New Roman"/>
          <w:bCs/>
          <w:iCs/>
          <w:sz w:val="20"/>
          <w:szCs w:val="20"/>
        </w:rPr>
      </w:pPr>
      <w:r w:rsidRPr="006A6775">
        <w:rPr>
          <w:rFonts w:ascii="Times New Roman" w:hAnsi="Times New Roman"/>
          <w:bCs/>
          <w:iCs/>
          <w:sz w:val="20"/>
          <w:szCs w:val="20"/>
        </w:rPr>
        <w:t xml:space="preserve">It should also be highlighted that </w:t>
      </w:r>
      <w:r w:rsidRPr="006A6775">
        <w:rPr>
          <w:rFonts w:ascii="Times New Roman" w:hAnsi="Times New Roman"/>
          <w:bCs/>
          <w:i/>
          <w:iCs/>
          <w:sz w:val="20"/>
          <w:szCs w:val="20"/>
        </w:rPr>
        <w:t>“If the conditions are not satisfied, the UE behavior is not defined”</w:t>
      </w:r>
      <w:r w:rsidRPr="006A6775">
        <w:rPr>
          <w:rFonts w:ascii="Times New Roman" w:hAnsi="Times New Roman"/>
          <w:bCs/>
          <w:iCs/>
          <w:sz w:val="20"/>
          <w:szCs w:val="20"/>
        </w:rPr>
        <w:t xml:space="preserve"> means that the configuration is not consistent with the UE capability reporting, which as always, is an error case. This does not mean that the scheduling flexibility of the gNB is restricted. In other words, there is no scheduling restriction defined under Solution 3.</w:t>
      </w:r>
    </w:p>
    <w:p w14:paraId="3C4C02EF" w14:textId="7510E58C" w:rsidR="006A6775" w:rsidRDefault="006A6775" w:rsidP="006A6775">
      <w:pPr>
        <w:tabs>
          <w:tab w:val="left" w:pos="1014"/>
        </w:tabs>
        <w:spacing w:line="252" w:lineRule="auto"/>
        <w:jc w:val="both"/>
        <w:rPr>
          <w:bCs/>
          <w:iCs/>
        </w:rPr>
      </w:pPr>
    </w:p>
    <w:p w14:paraId="24431464" w14:textId="6A59C487" w:rsidR="003B0207" w:rsidRDefault="003B0207" w:rsidP="003B0207">
      <w:pPr>
        <w:pStyle w:val="ListParagraph"/>
        <w:numPr>
          <w:ilvl w:val="0"/>
          <w:numId w:val="43"/>
        </w:numPr>
        <w:tabs>
          <w:tab w:val="left" w:pos="1014"/>
        </w:tabs>
        <w:spacing w:line="252" w:lineRule="auto"/>
        <w:jc w:val="both"/>
        <w:rPr>
          <w:rFonts w:ascii="Times New Roman" w:hAnsi="Times New Roman"/>
          <w:bCs/>
          <w:iCs/>
          <w:sz w:val="20"/>
        </w:rPr>
      </w:pPr>
      <w:r w:rsidRPr="003B0207">
        <w:rPr>
          <w:rFonts w:ascii="Times New Roman" w:hAnsi="Times New Roman"/>
          <w:bCs/>
          <w:iCs/>
          <w:sz w:val="20"/>
        </w:rPr>
        <w:t xml:space="preserve">Here, just as an example, we used the cap#1 and cap#2 to define eMBB and URLLC. However, </w:t>
      </w:r>
      <w:r w:rsidR="00536FCF">
        <w:rPr>
          <w:rFonts w:ascii="Times New Roman" w:hAnsi="Times New Roman"/>
          <w:bCs/>
          <w:iCs/>
          <w:sz w:val="20"/>
        </w:rPr>
        <w:t>the high and low priority services</w:t>
      </w:r>
      <w:r w:rsidRPr="003B0207">
        <w:rPr>
          <w:rFonts w:ascii="Times New Roman" w:hAnsi="Times New Roman"/>
          <w:bCs/>
          <w:iCs/>
          <w:sz w:val="20"/>
        </w:rPr>
        <w:t xml:space="preserve"> can be defined in other different ways too once more features are developed</w:t>
      </w:r>
      <w:r w:rsidR="00536FCF">
        <w:rPr>
          <w:rFonts w:ascii="Times New Roman" w:hAnsi="Times New Roman"/>
          <w:bCs/>
          <w:iCs/>
          <w:sz w:val="20"/>
        </w:rPr>
        <w:t xml:space="preserve"> and finalized.</w:t>
      </w:r>
      <w:r w:rsidRPr="003B0207">
        <w:rPr>
          <w:rFonts w:ascii="Times New Roman" w:hAnsi="Times New Roman"/>
          <w:bCs/>
          <w:iCs/>
          <w:sz w:val="20"/>
        </w:rPr>
        <w:t xml:space="preserve"> </w:t>
      </w:r>
    </w:p>
    <w:p w14:paraId="10D5697B" w14:textId="4B40B0EA" w:rsidR="005B00EB" w:rsidRDefault="005B00EB" w:rsidP="005B00EB">
      <w:pPr>
        <w:tabs>
          <w:tab w:val="left" w:pos="1014"/>
        </w:tabs>
        <w:spacing w:line="252" w:lineRule="auto"/>
        <w:jc w:val="both"/>
        <w:rPr>
          <w:bCs/>
          <w:iCs/>
        </w:rPr>
      </w:pPr>
    </w:p>
    <w:p w14:paraId="419276EA" w14:textId="77777777" w:rsidR="005B00EB" w:rsidRPr="005B00EB" w:rsidRDefault="005B00EB" w:rsidP="005B00EB">
      <w:pPr>
        <w:spacing w:line="252" w:lineRule="auto"/>
        <w:jc w:val="both"/>
        <w:rPr>
          <w:b/>
          <w:bCs/>
          <w:i/>
          <w:iCs/>
          <w:szCs w:val="22"/>
        </w:rPr>
      </w:pPr>
      <w:r w:rsidRPr="005B00EB">
        <w:rPr>
          <w:b/>
          <w:bCs/>
          <w:iCs/>
          <w:szCs w:val="22"/>
          <w:u w:val="single"/>
        </w:rPr>
        <w:t>Solution 4-Alt1</w:t>
      </w:r>
      <w:r w:rsidRPr="003F7A1F">
        <w:rPr>
          <w:b/>
          <w:bCs/>
          <w:iCs/>
          <w:szCs w:val="22"/>
        </w:rPr>
        <w:t>:</w:t>
      </w:r>
      <w:r w:rsidRPr="005B00EB">
        <w:rPr>
          <w:bCs/>
          <w:iCs/>
          <w:szCs w:val="22"/>
        </w:rPr>
        <w:t xml:space="preserve"> “</w:t>
      </w:r>
      <w:r w:rsidRPr="005B00EB">
        <w:rPr>
          <w:b/>
          <w:bCs/>
          <w:i/>
          <w:iCs/>
          <w:szCs w:val="22"/>
        </w:rPr>
        <w:t>The UE always drops the first PDSCH.”</w:t>
      </w:r>
    </w:p>
    <w:p w14:paraId="2AE8D762" w14:textId="77777777" w:rsidR="005B00EB" w:rsidRPr="005B00EB" w:rsidRDefault="005B00EB" w:rsidP="005B00EB">
      <w:pPr>
        <w:pStyle w:val="ListParagraph"/>
        <w:numPr>
          <w:ilvl w:val="0"/>
          <w:numId w:val="45"/>
        </w:numPr>
        <w:spacing w:line="252" w:lineRule="auto"/>
        <w:jc w:val="both"/>
        <w:rPr>
          <w:rFonts w:ascii="Times New Roman" w:hAnsi="Times New Roman"/>
          <w:bCs/>
          <w:iCs/>
          <w:sz w:val="20"/>
        </w:rPr>
      </w:pPr>
      <w:r w:rsidRPr="005B00EB">
        <w:rPr>
          <w:rFonts w:ascii="Times New Roman" w:hAnsi="Times New Roman"/>
          <w:bCs/>
          <w:iCs/>
          <w:sz w:val="20"/>
        </w:rPr>
        <w:t xml:space="preserve">This solution tries to remove the operational ambiguity that can be caused under Solution 1, and to avoid the burden of defining the scheduling constraints suggested by Solution 4-Alt2. However, since the UE does not process the low priority channel, the eMBB performance will be degraded. </w:t>
      </w:r>
    </w:p>
    <w:p w14:paraId="48BB8B67" w14:textId="77777777" w:rsidR="003B0207" w:rsidRPr="005B00EB" w:rsidRDefault="003B0207" w:rsidP="005B00EB">
      <w:pPr>
        <w:rPr>
          <w:bCs/>
          <w:iCs/>
        </w:rPr>
      </w:pPr>
    </w:p>
    <w:p w14:paraId="69F405ED" w14:textId="77777777" w:rsidR="005B00EB" w:rsidRPr="005B00EB" w:rsidRDefault="005B00EB" w:rsidP="005B00EB">
      <w:pPr>
        <w:spacing w:line="252" w:lineRule="auto"/>
        <w:jc w:val="both"/>
        <w:rPr>
          <w:b/>
          <w:bCs/>
          <w:i/>
          <w:iCs/>
          <w:szCs w:val="22"/>
        </w:rPr>
      </w:pPr>
      <w:r w:rsidRPr="005B00EB">
        <w:rPr>
          <w:b/>
          <w:bCs/>
          <w:iCs/>
          <w:szCs w:val="22"/>
          <w:u w:val="single"/>
        </w:rPr>
        <w:t>Solution 4-Alt2</w:t>
      </w:r>
      <w:r w:rsidRPr="003F7A1F">
        <w:rPr>
          <w:b/>
          <w:bCs/>
          <w:iCs/>
          <w:szCs w:val="22"/>
        </w:rPr>
        <w:t>:</w:t>
      </w:r>
      <w:r w:rsidRPr="005B00EB">
        <w:rPr>
          <w:b/>
          <w:bCs/>
          <w:iCs/>
          <w:szCs w:val="22"/>
        </w:rPr>
        <w:t xml:space="preserve"> “</w:t>
      </w:r>
      <w:r w:rsidRPr="005B00EB">
        <w:rPr>
          <w:b/>
          <w:bCs/>
          <w:i/>
          <w:iCs/>
          <w:szCs w:val="22"/>
        </w:rPr>
        <w:t>Some scheduling conditions should be defined. If not satisfied, the UE drops the processing of the first channel.”</w:t>
      </w:r>
    </w:p>
    <w:p w14:paraId="519439BA" w14:textId="3BE889B6" w:rsidR="005B00EB" w:rsidRDefault="005B00EB" w:rsidP="005B00EB">
      <w:pPr>
        <w:pStyle w:val="ListParagraph"/>
        <w:numPr>
          <w:ilvl w:val="0"/>
          <w:numId w:val="44"/>
        </w:numPr>
        <w:spacing w:line="252" w:lineRule="auto"/>
        <w:jc w:val="both"/>
        <w:rPr>
          <w:rFonts w:ascii="Times New Roman" w:hAnsi="Times New Roman"/>
          <w:bCs/>
          <w:iCs/>
          <w:sz w:val="20"/>
        </w:rPr>
      </w:pPr>
      <w:r w:rsidRPr="005B00EB">
        <w:rPr>
          <w:rFonts w:ascii="Times New Roman" w:hAnsi="Times New Roman"/>
          <w:bCs/>
          <w:iCs/>
          <w:sz w:val="20"/>
        </w:rPr>
        <w:t xml:space="preserve">This solution tries to address the main drawback of Solution 1 as explained above. However, defining the scheduling rules for deciding whether both channels should be processed or not is a challenging task and </w:t>
      </w:r>
      <w:r>
        <w:rPr>
          <w:rFonts w:ascii="Times New Roman" w:hAnsi="Times New Roman"/>
          <w:bCs/>
          <w:iCs/>
          <w:sz w:val="20"/>
        </w:rPr>
        <w:t>should be</w:t>
      </w:r>
      <w:r w:rsidRPr="005B00EB">
        <w:rPr>
          <w:rFonts w:ascii="Times New Roman" w:hAnsi="Times New Roman"/>
          <w:bCs/>
          <w:iCs/>
          <w:sz w:val="20"/>
        </w:rPr>
        <w:t xml:space="preserve"> be avoided. The reason for this can be explained as follows: for a UE to be able to process both channels, perfect pipelining should be feasible. This depends on how much workload is put on the UE for processing of the low priority channel, and when the high priority PDSCH is received. As it should be clear, there is a dependency between the #RBs/TBS/#layers of the low priority channel </w:t>
      </w:r>
      <w:r>
        <w:rPr>
          <w:rFonts w:ascii="Times New Roman" w:hAnsi="Times New Roman"/>
          <w:bCs/>
          <w:iCs/>
          <w:sz w:val="20"/>
        </w:rPr>
        <w:t>and how early its processing can be completed</w:t>
      </w:r>
      <w:r w:rsidRPr="005B00EB">
        <w:rPr>
          <w:rFonts w:ascii="Times New Roman" w:hAnsi="Times New Roman"/>
          <w:bCs/>
          <w:iCs/>
          <w:sz w:val="20"/>
        </w:rPr>
        <w:t xml:space="preserve">. As an example, as the number of RBs is increased for the low priority channel, its processing takes a longer time; hence, the gap between the two channels should be longer. Such a dependency makes the task of defining the scheduling rules burdensome. </w:t>
      </w:r>
    </w:p>
    <w:p w14:paraId="62F7F151" w14:textId="1207CD0F" w:rsidR="005B00EB" w:rsidRPr="003F7A1F" w:rsidRDefault="005B00EB" w:rsidP="005B00EB">
      <w:pPr>
        <w:pStyle w:val="ListParagraph"/>
        <w:numPr>
          <w:ilvl w:val="0"/>
          <w:numId w:val="44"/>
        </w:numPr>
        <w:spacing w:line="252" w:lineRule="auto"/>
        <w:jc w:val="both"/>
        <w:rPr>
          <w:rFonts w:ascii="Times New Roman" w:hAnsi="Times New Roman"/>
          <w:bCs/>
          <w:iCs/>
          <w:sz w:val="20"/>
        </w:rPr>
      </w:pPr>
      <w:r>
        <w:rPr>
          <w:rFonts w:ascii="Times New Roman" w:hAnsi="Times New Roman"/>
          <w:bCs/>
          <w:iCs/>
          <w:sz w:val="20"/>
        </w:rPr>
        <w:t xml:space="preserve">At a extreme case, the scheduling condition can be defined similar to that defined for SCS = 30KHz and with </w:t>
      </w:r>
      <w:r w:rsidRPr="005B00EB">
        <w:rPr>
          <w:rFonts w:ascii="Times New Roman" w:hAnsi="Times New Roman"/>
          <w:bCs/>
          <w:i/>
          <w:iCs/>
          <w:sz w:val="20"/>
          <w:szCs w:val="20"/>
        </w:rPr>
        <w:t>p</w:t>
      </w:r>
      <w:r w:rsidRPr="007E1DCB">
        <w:rPr>
          <w:rFonts w:ascii="Times New Roman" w:eastAsiaTheme="minorEastAsia" w:hAnsi="Times New Roman"/>
          <w:bCs/>
          <w:i/>
          <w:iCs/>
          <w:sz w:val="20"/>
          <w:szCs w:val="20"/>
        </w:rPr>
        <w:t>dsch-ProcessingType2-Limited</w:t>
      </w:r>
      <w:r>
        <w:rPr>
          <w:rFonts w:ascii="Times New Roman" w:eastAsiaTheme="minorEastAsia" w:hAnsi="Times New Roman"/>
          <w:bCs/>
          <w:i/>
          <w:iCs/>
          <w:sz w:val="20"/>
          <w:szCs w:val="20"/>
        </w:rPr>
        <w:t>. In particu</w:t>
      </w:r>
      <w:r w:rsidR="00CA2C0D">
        <w:rPr>
          <w:rFonts w:ascii="Times New Roman" w:eastAsiaTheme="minorEastAsia" w:hAnsi="Times New Roman"/>
          <w:bCs/>
          <w:i/>
          <w:iCs/>
          <w:sz w:val="20"/>
          <w:szCs w:val="20"/>
        </w:rPr>
        <w:t>l</w:t>
      </w:r>
      <w:r>
        <w:rPr>
          <w:rFonts w:ascii="Times New Roman" w:eastAsiaTheme="minorEastAsia" w:hAnsi="Times New Roman"/>
          <w:bCs/>
          <w:i/>
          <w:iCs/>
          <w:sz w:val="20"/>
          <w:szCs w:val="20"/>
        </w:rPr>
        <w:t xml:space="preserve">ar, </w:t>
      </w:r>
      <w:r w:rsidRPr="005B00EB">
        <w:rPr>
          <w:rFonts w:ascii="Times New Roman" w:eastAsiaTheme="minorEastAsia" w:hAnsi="Times New Roman"/>
          <w:bCs/>
          <w:iCs/>
          <w:sz w:val="20"/>
          <w:szCs w:val="20"/>
        </w:rPr>
        <w:t xml:space="preserve">once mixing the timing capabilities on the same serving cell is allowed, to process both channels, the gap </w:t>
      </w:r>
      <w:r>
        <w:rPr>
          <w:rFonts w:ascii="Times New Roman" w:eastAsiaTheme="minorEastAsia" w:hAnsi="Times New Roman"/>
          <w:bCs/>
          <w:iCs/>
          <w:sz w:val="20"/>
          <w:szCs w:val="20"/>
        </w:rPr>
        <w:t xml:space="preserve">between the end of the low priority PDSCH and the first symbol of the high priority PDSCH should be at least equal to the minimum processing timeline of the low priority PDSCH. </w:t>
      </w:r>
    </w:p>
    <w:p w14:paraId="200E5089" w14:textId="1AFB37DC" w:rsidR="003F7A1F" w:rsidRPr="005B00EB" w:rsidRDefault="003F7A1F" w:rsidP="003F7A1F">
      <w:pPr>
        <w:pStyle w:val="ListParagraph"/>
        <w:numPr>
          <w:ilvl w:val="1"/>
          <w:numId w:val="44"/>
        </w:numPr>
        <w:spacing w:line="252" w:lineRule="auto"/>
        <w:jc w:val="both"/>
        <w:rPr>
          <w:rFonts w:ascii="Times New Roman" w:hAnsi="Times New Roman"/>
          <w:bCs/>
          <w:iCs/>
          <w:sz w:val="20"/>
        </w:rPr>
      </w:pPr>
      <w:r>
        <w:rPr>
          <w:rFonts w:ascii="Times New Roman" w:hAnsi="Times New Roman"/>
          <w:bCs/>
          <w:iCs/>
          <w:sz w:val="20"/>
        </w:rPr>
        <w:t xml:space="preserve">This assumption means that to ensure both channels are processed and the performance of URLLC and eMBB is not impacted, either the scheduling of the high prioroity channel should be delayed or the performance of the lower priority service will be degraded; neither of the two impacts is desirable. </w:t>
      </w:r>
    </w:p>
    <w:p w14:paraId="3E776C3D" w14:textId="36C9BAF8" w:rsidR="005B00EB" w:rsidRDefault="005B00EB" w:rsidP="005B00EB">
      <w:pPr>
        <w:spacing w:line="252" w:lineRule="auto"/>
        <w:jc w:val="both"/>
        <w:rPr>
          <w:b/>
          <w:bCs/>
          <w:iCs/>
          <w:color w:val="525252" w:themeColor="accent3" w:themeShade="80"/>
          <w:szCs w:val="22"/>
          <w:u w:val="single"/>
        </w:rPr>
      </w:pPr>
    </w:p>
    <w:p w14:paraId="2B746D96" w14:textId="5A45C1BD" w:rsidR="00070FD1" w:rsidRPr="00070FD1" w:rsidRDefault="00CA2C0D" w:rsidP="005B00EB">
      <w:pPr>
        <w:spacing w:line="252" w:lineRule="auto"/>
        <w:jc w:val="both"/>
        <w:rPr>
          <w:bCs/>
          <w:iCs/>
          <w:szCs w:val="22"/>
        </w:rPr>
      </w:pPr>
      <w:r w:rsidRPr="00CA2C0D">
        <w:rPr>
          <w:bCs/>
          <w:iCs/>
          <w:szCs w:val="22"/>
        </w:rPr>
        <w:t>Based on the discussions in this section, we make the following proposals and observations:</w:t>
      </w:r>
    </w:p>
    <w:p w14:paraId="4D6A5885" w14:textId="3781E216" w:rsidR="003B0207" w:rsidRDefault="00CA2C0D" w:rsidP="003B0207">
      <w:pPr>
        <w:tabs>
          <w:tab w:val="left" w:pos="1014"/>
        </w:tabs>
        <w:spacing w:line="252" w:lineRule="auto"/>
        <w:jc w:val="both"/>
        <w:rPr>
          <w:b/>
          <w:bCs/>
          <w:iCs/>
        </w:rPr>
      </w:pPr>
      <w:r w:rsidRPr="00CA2C0D">
        <w:rPr>
          <w:b/>
          <w:bCs/>
          <w:iCs/>
        </w:rPr>
        <w:t xml:space="preserve">Proposal 2: For supporting the out-of-order operation, while allowing for different minimum processing timing capabilities on the same serving cell, Solution 2 is not supported. </w:t>
      </w:r>
    </w:p>
    <w:p w14:paraId="0CCB34D2" w14:textId="6DDB9C24" w:rsidR="00CA2C0D" w:rsidRDefault="00CA2C0D" w:rsidP="003B0207">
      <w:pPr>
        <w:tabs>
          <w:tab w:val="left" w:pos="1014"/>
        </w:tabs>
        <w:spacing w:line="252" w:lineRule="auto"/>
        <w:jc w:val="both"/>
        <w:rPr>
          <w:b/>
          <w:bCs/>
          <w:iCs/>
        </w:rPr>
      </w:pPr>
      <w:r>
        <w:rPr>
          <w:b/>
          <w:bCs/>
          <w:iCs/>
        </w:rPr>
        <w:t>Observation 3: Adopting solutions 1, 4-Alt1 and 4-Alt2 degrades the performance of the low priority channels. Such impacts can and should be avoided.</w:t>
      </w:r>
    </w:p>
    <w:p w14:paraId="1D01F615" w14:textId="29A4EF58" w:rsidR="00CA2C0D" w:rsidRPr="00CA2C0D" w:rsidRDefault="00CA2C0D" w:rsidP="003B0207">
      <w:pPr>
        <w:tabs>
          <w:tab w:val="left" w:pos="1014"/>
        </w:tabs>
        <w:spacing w:line="252" w:lineRule="auto"/>
        <w:jc w:val="both"/>
        <w:rPr>
          <w:b/>
          <w:bCs/>
          <w:iCs/>
        </w:rPr>
      </w:pPr>
      <w:r>
        <w:rPr>
          <w:b/>
          <w:bCs/>
          <w:iCs/>
        </w:rPr>
        <w:t>Observation 4: Solution 3 allows for an efficient multiplexing of channels/services requiring different minimum processing timing capabilities on the same serving cell. Under Solution 3, all channels are guaranteed to be processed</w:t>
      </w:r>
      <w:r w:rsidR="008A210A">
        <w:rPr>
          <w:b/>
          <w:bCs/>
          <w:iCs/>
        </w:rPr>
        <w:t>,</w:t>
      </w:r>
      <w:r>
        <w:rPr>
          <w:b/>
          <w:bCs/>
          <w:iCs/>
        </w:rPr>
        <w:t xml:space="preserve"> </w:t>
      </w:r>
      <w:r w:rsidR="003F72E7">
        <w:rPr>
          <w:b/>
          <w:bCs/>
          <w:iCs/>
        </w:rPr>
        <w:t xml:space="preserve">and </w:t>
      </w:r>
      <w:r>
        <w:rPr>
          <w:b/>
          <w:bCs/>
          <w:iCs/>
        </w:rPr>
        <w:t>there is no scheduling restriction imposed on the gNB</w:t>
      </w:r>
      <w:r w:rsidR="003F72E7">
        <w:rPr>
          <w:b/>
          <w:bCs/>
          <w:iCs/>
        </w:rPr>
        <w:t xml:space="preserve">. Finally, the support for out-of-order operation under </w:t>
      </w:r>
      <w:r w:rsidR="003F72E7">
        <w:rPr>
          <w:b/>
          <w:bCs/>
          <w:iCs/>
        </w:rPr>
        <w:lastRenderedPageBreak/>
        <w:t>Solution 3 is not dependent on the UE CA capability; both the CA capable and CA incapable UEs can support the out-of-order operation as a capability.</w:t>
      </w:r>
    </w:p>
    <w:p w14:paraId="3E5EBC35" w14:textId="51853125" w:rsidR="00A8226D" w:rsidRDefault="008A210A" w:rsidP="00A8226D">
      <w:pPr>
        <w:jc w:val="both"/>
        <w:rPr>
          <w:lang w:val="en-GB"/>
        </w:rPr>
      </w:pPr>
      <w:r>
        <w:rPr>
          <w:lang w:val="en-GB"/>
        </w:rPr>
        <w:t>Finally, to clarify the Solution 3, it can be captured as follows:</w:t>
      </w:r>
    </w:p>
    <w:p w14:paraId="46975456" w14:textId="7A3255A5" w:rsidR="00A76DA8" w:rsidRPr="00DA6755" w:rsidRDefault="008A210A" w:rsidP="00E87D5A">
      <w:pPr>
        <w:jc w:val="both"/>
        <w:rPr>
          <w:b/>
          <w:lang w:val="en-GB"/>
        </w:rPr>
      </w:pPr>
      <w:r w:rsidRPr="008A210A">
        <w:rPr>
          <w:b/>
          <w:lang w:val="en-GB"/>
        </w:rPr>
        <w:t xml:space="preserve">Proposal 3: To support the out-of-order HARQ and uplink scheduling in Rel. 16, the UE indicates </w:t>
      </w:r>
      <w:r>
        <w:rPr>
          <w:b/>
          <w:lang w:val="en-GB"/>
        </w:rPr>
        <w:t>the number of CCs that can be supported for low priority services and the number of CCs that can be supported for high priority services. The channels associated with different priorities can be scheduled in an out-of-order fashion. The UE processes both the low priority and the high priority channels without dropping</w:t>
      </w:r>
      <w:r w:rsidR="00070FD1">
        <w:rPr>
          <w:b/>
          <w:lang w:val="en-GB"/>
        </w:rPr>
        <w:t xml:space="preserve"> </w:t>
      </w:r>
      <w:r w:rsidR="00D95009">
        <w:rPr>
          <w:b/>
          <w:lang w:val="en-GB"/>
        </w:rPr>
        <w:t>except for the case that two PUSCHs are overlapping.</w:t>
      </w:r>
    </w:p>
    <w:p w14:paraId="368B3804" w14:textId="77777777" w:rsidR="00A76DA8" w:rsidRDefault="00A76DA8" w:rsidP="00A76DA8">
      <w:pPr>
        <w:pStyle w:val="Heading1"/>
        <w:jc w:val="both"/>
        <w:rPr>
          <w:rFonts w:ascii="Times New Roman" w:hAnsi="Times New Roman"/>
        </w:rPr>
      </w:pPr>
      <w:r>
        <w:rPr>
          <w:rFonts w:ascii="Times New Roman" w:hAnsi="Times New Roman"/>
        </w:rPr>
        <w:t xml:space="preserve">PDSCH-to-PDSCH Collision Handling </w:t>
      </w:r>
    </w:p>
    <w:p w14:paraId="15F0C3F4" w14:textId="1DF93D98" w:rsidR="00A76DA8" w:rsidRPr="008222A2" w:rsidRDefault="00A76DA8" w:rsidP="00A76DA8">
      <w:pPr>
        <w:jc w:val="both"/>
        <w:rPr>
          <w:lang w:val="en-GB"/>
        </w:rPr>
      </w:pPr>
      <w:r w:rsidRPr="008222A2">
        <w:rPr>
          <w:lang w:val="en-GB"/>
        </w:rPr>
        <w:t xml:space="preserve">Given the latency requirements of URLLC applications, it may happen that the user supporting both low and high priority transmissions is scheduled with a PDSCH colliding with another PDSCH scheduled earlier. In particular, the high priority transmission is not a re-transmission of the first one; it is scheduled since its latency budget does not allow for large scheduling latency. In other words, either the two PDSCHs are associated with different </w:t>
      </w:r>
      <w:r w:rsidRPr="006153D5">
        <w:rPr>
          <w:lang w:val="en-GB"/>
        </w:rPr>
        <w:t>HARQ process IDs</w:t>
      </w:r>
      <w:r w:rsidRPr="008222A2">
        <w:rPr>
          <w:lang w:val="en-GB"/>
        </w:rPr>
        <w:t xml:space="preserve"> or the IDs are the same, but the</w:t>
      </w:r>
      <w:r w:rsidR="006153D5">
        <w:rPr>
          <w:lang w:val="en-GB"/>
        </w:rPr>
        <w:t xml:space="preserve"> PUSCHs</w:t>
      </w:r>
      <w:r w:rsidRPr="008222A2">
        <w:rPr>
          <w:lang w:val="en-GB"/>
        </w:rPr>
        <w:t xml:space="preserve"> are </w:t>
      </w:r>
      <w:proofErr w:type="spellStart"/>
      <w:r w:rsidR="006153D5">
        <w:rPr>
          <w:lang w:val="en-GB"/>
        </w:rPr>
        <w:t>differenatiable</w:t>
      </w:r>
      <w:proofErr w:type="spellEnd"/>
      <w:r w:rsidR="006153D5">
        <w:rPr>
          <w:lang w:val="en-GB"/>
        </w:rPr>
        <w:t xml:space="preserve"> based on their PHY layer </w:t>
      </w:r>
      <w:proofErr w:type="spellStart"/>
      <w:r w:rsidR="006153D5">
        <w:rPr>
          <w:lang w:val="en-GB"/>
        </w:rPr>
        <w:t>differenatiation</w:t>
      </w:r>
      <w:proofErr w:type="spellEnd"/>
      <w:r w:rsidR="006153D5">
        <w:rPr>
          <w:lang w:val="en-GB"/>
        </w:rPr>
        <w:t xml:space="preserve"> indication</w:t>
      </w:r>
      <w:bookmarkStart w:id="3" w:name="_GoBack"/>
      <w:bookmarkEnd w:id="3"/>
      <w:r w:rsidR="00DA6755">
        <w:rPr>
          <w:lang w:val="en-GB"/>
        </w:rPr>
        <w:t>.</w:t>
      </w:r>
    </w:p>
    <w:p w14:paraId="509A1A97" w14:textId="1049E60B" w:rsidR="00A76DA8" w:rsidRPr="008222A2" w:rsidRDefault="00A76DA8" w:rsidP="00A76DA8">
      <w:pPr>
        <w:jc w:val="both"/>
        <w:rPr>
          <w:b/>
          <w:lang w:val="en-GB"/>
        </w:rPr>
      </w:pPr>
      <w:r w:rsidRPr="008222A2">
        <w:rPr>
          <w:b/>
          <w:lang w:val="en-GB"/>
        </w:rPr>
        <w:t xml:space="preserve">Proposal </w:t>
      </w:r>
      <w:r w:rsidR="00DA6755">
        <w:rPr>
          <w:b/>
          <w:lang w:val="en-GB"/>
        </w:rPr>
        <w:t>4</w:t>
      </w:r>
      <w:r w:rsidRPr="008222A2">
        <w:rPr>
          <w:b/>
          <w:lang w:val="en-GB"/>
        </w:rPr>
        <w:t>: The out-of-order PDCCH to PDSCH is only supported for transmission of different TBs.</w:t>
      </w:r>
    </w:p>
    <w:p w14:paraId="42FB007A" w14:textId="7E0AF10F" w:rsidR="00A76DA8" w:rsidRPr="008222A2" w:rsidRDefault="00A76DA8" w:rsidP="00A76DA8">
      <w:pPr>
        <w:jc w:val="both"/>
        <w:rPr>
          <w:lang w:val="en-GB"/>
        </w:rPr>
      </w:pPr>
      <w:r w:rsidRPr="008222A2">
        <w:rPr>
          <w:lang w:val="en-GB"/>
        </w:rPr>
        <w:t>In addition, as was the case for out-of-order HARQ and PUSCH, there is no use case for handling more than two overlapping PDSCHs. Hence, to keep the problem tractable, only one out-of-order flow is expected by a UE on a given BWP.</w:t>
      </w:r>
    </w:p>
    <w:p w14:paraId="324E1832" w14:textId="0CC49209" w:rsidR="00A76DA8" w:rsidRPr="0084006B" w:rsidRDefault="00A76DA8" w:rsidP="00A76DA8">
      <w:pPr>
        <w:overflowPunct/>
        <w:autoSpaceDE/>
        <w:autoSpaceDN/>
        <w:adjustRightInd/>
        <w:spacing w:after="160" w:line="252" w:lineRule="auto"/>
        <w:jc w:val="both"/>
        <w:textAlignment w:val="auto"/>
        <w:rPr>
          <w:rFonts w:eastAsia="Times New Roman"/>
          <w:b/>
          <w:szCs w:val="22"/>
        </w:rPr>
      </w:pPr>
      <w:r w:rsidRPr="008222A2">
        <w:rPr>
          <w:b/>
          <w:lang w:val="en-GB"/>
        </w:rPr>
        <w:t xml:space="preserve">Proposal </w:t>
      </w:r>
      <w:r w:rsidR="00DA6755">
        <w:rPr>
          <w:b/>
          <w:lang w:val="en-GB"/>
        </w:rPr>
        <w:t>5</w:t>
      </w:r>
      <w:r w:rsidRPr="008222A2">
        <w:rPr>
          <w:b/>
          <w:lang w:val="en-GB"/>
        </w:rPr>
        <w:t xml:space="preserve">: </w:t>
      </w:r>
      <w:r w:rsidRPr="008222A2">
        <w:rPr>
          <w:rFonts w:eastAsia="Times New Roman"/>
          <w:b/>
          <w:szCs w:val="22"/>
        </w:rPr>
        <w:t xml:space="preserve">A UE </w:t>
      </w:r>
      <w:r w:rsidRPr="008222A2">
        <w:rPr>
          <w:b/>
          <w:szCs w:val="22"/>
        </w:rPr>
        <w:t>only expects a maximum of one out-of-order PDCCH-to-PDSCH flow on the active BWP of a given serving cell.</w:t>
      </w:r>
    </w:p>
    <w:p w14:paraId="5484EE67" w14:textId="3CBCE5BB" w:rsidR="00A76DA8" w:rsidRPr="008222A2" w:rsidRDefault="00A76DA8" w:rsidP="00A76DA8">
      <w:pPr>
        <w:jc w:val="both"/>
        <w:rPr>
          <w:lang w:val="en-GB"/>
        </w:rPr>
      </w:pPr>
      <w:r w:rsidRPr="008222A2">
        <w:rPr>
          <w:lang w:val="en-GB"/>
        </w:rPr>
        <w:t xml:space="preserve">From the implementation point of view, as </w:t>
      </w:r>
      <w:r w:rsidR="00DA6755">
        <w:rPr>
          <w:lang w:val="en-GB"/>
        </w:rPr>
        <w:t>was</w:t>
      </w:r>
      <w:r w:rsidRPr="008222A2">
        <w:rPr>
          <w:lang w:val="en-GB"/>
        </w:rPr>
        <w:t xml:space="preserve"> discussed in details in the </w:t>
      </w:r>
      <w:r w:rsidR="00DA6755">
        <w:rPr>
          <w:lang w:val="en-GB"/>
        </w:rPr>
        <w:t>preceding</w:t>
      </w:r>
      <w:r w:rsidRPr="008222A2">
        <w:rPr>
          <w:lang w:val="en-GB"/>
        </w:rPr>
        <w:t xml:space="preserve"> section, it is essential to keep the transmissions of the same priority in order. However, out-of-order scheduling can be allowed across PDSCHs of different priorities. To accomplish this task, the priority of the PDSCHs should be explicitly indicated at the PHY layer.</w:t>
      </w:r>
    </w:p>
    <w:p w14:paraId="0ABAD9B6" w14:textId="3A0E58C1" w:rsidR="00A76DA8" w:rsidRPr="008222A2" w:rsidRDefault="00A76DA8" w:rsidP="00A76DA8">
      <w:pPr>
        <w:jc w:val="both"/>
        <w:rPr>
          <w:b/>
          <w:lang w:val="en-GB"/>
        </w:rPr>
      </w:pPr>
      <w:r w:rsidRPr="008222A2">
        <w:rPr>
          <w:b/>
          <w:lang w:val="en-GB"/>
        </w:rPr>
        <w:t xml:space="preserve">Proposal </w:t>
      </w:r>
      <w:r w:rsidR="00DA6755">
        <w:rPr>
          <w:b/>
          <w:lang w:val="en-GB"/>
        </w:rPr>
        <w:t>6</w:t>
      </w:r>
      <w:r w:rsidRPr="008222A2">
        <w:rPr>
          <w:b/>
          <w:lang w:val="en-GB"/>
        </w:rPr>
        <w:t xml:space="preserve">: The priority of PDSCHs are indicated at the PHY layer. </w:t>
      </w:r>
      <w:r w:rsidR="00DA6755">
        <w:rPr>
          <w:b/>
          <w:lang w:val="en-GB"/>
        </w:rPr>
        <w:t>Only PDSCHs of different priorities</w:t>
      </w:r>
      <w:r w:rsidRPr="008222A2">
        <w:rPr>
          <w:b/>
          <w:lang w:val="en-GB"/>
        </w:rPr>
        <w:t xml:space="preserve"> </w:t>
      </w:r>
      <w:r w:rsidR="00DA6755">
        <w:rPr>
          <w:b/>
          <w:lang w:val="en-GB"/>
        </w:rPr>
        <w:t>can be allowed to be overlapping</w:t>
      </w:r>
      <w:r w:rsidRPr="008222A2">
        <w:rPr>
          <w:b/>
          <w:lang w:val="en-GB"/>
        </w:rPr>
        <w:t xml:space="preserve">. </w:t>
      </w:r>
    </w:p>
    <w:p w14:paraId="388DF848" w14:textId="0FF9EE90" w:rsidR="00DA6755" w:rsidRDefault="00DA6755" w:rsidP="00A76DA8">
      <w:pPr>
        <w:jc w:val="both"/>
        <w:rPr>
          <w:szCs w:val="22"/>
          <w:lang w:val="en-GB"/>
        </w:rPr>
      </w:pPr>
      <w:r>
        <w:rPr>
          <w:szCs w:val="22"/>
          <w:lang w:val="en-GB"/>
        </w:rPr>
        <w:t xml:space="preserve">The high priority PDSCH should always be processed. Now, the question is what the expected UE behaviour should be for handling the processing of the low priority PDSCH. </w:t>
      </w:r>
      <w:r w:rsidR="0032415B">
        <w:rPr>
          <w:szCs w:val="22"/>
          <w:lang w:val="en-GB"/>
        </w:rPr>
        <w:t xml:space="preserve">Following the same principle as discussed in the previous section, based on Solution 3, both PDSCHs can be processed, without dropping, under both Scenario 1-1 and 1-2 as identified in RAN1 #96b. </w:t>
      </w:r>
    </w:p>
    <w:p w14:paraId="1DD4F241" w14:textId="60C26B37" w:rsidR="00E87D5A" w:rsidRPr="0032415B" w:rsidRDefault="0032415B" w:rsidP="00A76DA8">
      <w:pPr>
        <w:jc w:val="both"/>
        <w:rPr>
          <w:b/>
          <w:lang w:val="en-GB"/>
        </w:rPr>
      </w:pPr>
      <w:r w:rsidRPr="0032415B">
        <w:rPr>
          <w:b/>
          <w:szCs w:val="22"/>
          <w:lang w:val="en-GB"/>
        </w:rPr>
        <w:t xml:space="preserve">Proposal 7: For handling the collision between the low and high priority PDSCHs, the UE </w:t>
      </w:r>
      <w:r w:rsidRPr="008A210A">
        <w:rPr>
          <w:b/>
          <w:lang w:val="en-GB"/>
        </w:rPr>
        <w:t xml:space="preserve">indicates </w:t>
      </w:r>
      <w:r>
        <w:rPr>
          <w:b/>
          <w:lang w:val="en-GB"/>
        </w:rPr>
        <w:t xml:space="preserve">the number of CCs that can be supported for low priority services and the number of CCs that can be supported for high priority services. The PDSCHs associated with different priorities can be overlapping. The UE processes both the low priority and the high priority PDSCHs without dropping. </w:t>
      </w:r>
    </w:p>
    <w:p w14:paraId="68370D05" w14:textId="1E0C9708" w:rsidR="00283D92" w:rsidRPr="00DE44D6" w:rsidRDefault="00C86121" w:rsidP="00283D92">
      <w:pPr>
        <w:pStyle w:val="Heading1"/>
        <w:jc w:val="both"/>
        <w:rPr>
          <w:rFonts w:ascii="Times New Roman" w:hAnsi="Times New Roman"/>
        </w:rPr>
      </w:pPr>
      <w:r>
        <w:rPr>
          <w:rFonts w:ascii="Times New Roman" w:hAnsi="Times New Roman"/>
        </w:rPr>
        <w:t>Uplink Power Control</w:t>
      </w:r>
      <w:r w:rsidR="00A76EA8">
        <w:rPr>
          <w:rFonts w:ascii="Times New Roman" w:hAnsi="Times New Roman"/>
        </w:rPr>
        <w:t xml:space="preserve"> under Out-of-Order Operation</w:t>
      </w:r>
    </w:p>
    <w:p w14:paraId="10C70A35" w14:textId="3E4EA492" w:rsidR="00027262" w:rsidRPr="008222A2" w:rsidRDefault="00FE42E7" w:rsidP="00F1057A">
      <w:pPr>
        <w:spacing w:after="160" w:line="252" w:lineRule="auto"/>
        <w:contextualSpacing/>
        <w:jc w:val="both"/>
        <w:rPr>
          <w:rFonts w:eastAsia="Times New Roman"/>
          <w:bCs/>
          <w:iCs/>
          <w:lang w:val="en-GB"/>
        </w:rPr>
      </w:pPr>
      <w:r w:rsidRPr="008222A2">
        <w:rPr>
          <w:rFonts w:eastAsia="Times New Roman"/>
          <w:bCs/>
          <w:iCs/>
          <w:lang w:val="en-GB"/>
        </w:rPr>
        <w:t xml:space="preserve">In Rel. 15 NR, </w:t>
      </w:r>
      <w:r w:rsidR="0009472B" w:rsidRPr="008222A2">
        <w:rPr>
          <w:rFonts w:eastAsia="Times New Roman"/>
          <w:bCs/>
          <w:iCs/>
          <w:lang w:val="en-GB"/>
        </w:rPr>
        <w:t>the TPC accumulation for both PUSCH and PUCCH is formulated based on the fact that all the transmissions are in order. In particular, for each PUCCH/PUSCH power control adjustment state, there is only a single accumulator. An example is shown in Figure 1 below:</w:t>
      </w:r>
    </w:p>
    <w:p w14:paraId="6A0C5445" w14:textId="7609D618" w:rsidR="0009472B" w:rsidRDefault="0009472B" w:rsidP="00F1057A">
      <w:pPr>
        <w:spacing w:after="160" w:line="252" w:lineRule="auto"/>
        <w:contextualSpacing/>
        <w:jc w:val="both"/>
        <w:rPr>
          <w:rFonts w:eastAsia="Times New Roman"/>
          <w:bCs/>
          <w:iCs/>
          <w:lang w:val="en-GB"/>
        </w:rPr>
      </w:pPr>
    </w:p>
    <w:p w14:paraId="791F5DA2" w14:textId="0EB81935" w:rsidR="0009472B" w:rsidRDefault="0009472B" w:rsidP="0009472B">
      <w:pPr>
        <w:keepNext/>
        <w:spacing w:after="160" w:line="252" w:lineRule="auto"/>
        <w:contextualSpacing/>
        <w:jc w:val="center"/>
      </w:pPr>
      <w:r>
        <w:object w:dxaOrig="14085" w:dyaOrig="2326" w14:anchorId="215DA665">
          <v:shape id="_x0000_i1026" type="#_x0000_t75" style="width:388.5pt;height:65pt" o:ole="">
            <v:imagedata r:id="rId15" o:title=""/>
          </v:shape>
          <o:OLEObject Type="Embed" ProgID="Visio.Drawing.15" ShapeID="_x0000_i1026" DrawAspect="Content" ObjectID="_1618430987" r:id="rId16"/>
        </w:object>
      </w:r>
    </w:p>
    <w:p w14:paraId="726760A9" w14:textId="1C386C00" w:rsidR="0009472B" w:rsidRPr="008222A2" w:rsidRDefault="0009472B" w:rsidP="0009472B">
      <w:pPr>
        <w:pStyle w:val="Caption"/>
        <w:jc w:val="center"/>
      </w:pPr>
      <w:r w:rsidRPr="008222A2">
        <w:t xml:space="preserve">Figure </w:t>
      </w:r>
      <w:r w:rsidR="00A8386C" w:rsidRPr="008222A2">
        <w:rPr>
          <w:noProof/>
        </w:rPr>
        <w:fldChar w:fldCharType="begin"/>
      </w:r>
      <w:r w:rsidR="00A8386C" w:rsidRPr="008222A2">
        <w:rPr>
          <w:noProof/>
        </w:rPr>
        <w:instrText xml:space="preserve"> SEQ Figure \* ARABIC </w:instrText>
      </w:r>
      <w:r w:rsidR="00A8386C" w:rsidRPr="008222A2">
        <w:rPr>
          <w:noProof/>
        </w:rPr>
        <w:fldChar w:fldCharType="separate"/>
      </w:r>
      <w:r w:rsidR="006D10DA">
        <w:rPr>
          <w:noProof/>
        </w:rPr>
        <w:t>2</w:t>
      </w:r>
      <w:r w:rsidR="00A8386C" w:rsidRPr="008222A2">
        <w:rPr>
          <w:noProof/>
        </w:rPr>
        <w:fldChar w:fldCharType="end"/>
      </w:r>
      <w:r w:rsidRPr="008222A2">
        <w:t>: An example of in-order PUSCH scheduling.</w:t>
      </w:r>
    </w:p>
    <w:p w14:paraId="238DBAC3" w14:textId="6230032B" w:rsidR="0009472B" w:rsidRPr="008222A2" w:rsidRDefault="0009472B" w:rsidP="00465248">
      <w:pPr>
        <w:jc w:val="both"/>
      </w:pPr>
      <w:r w:rsidRPr="008222A2">
        <w:lastRenderedPageBreak/>
        <w:t xml:space="preserve">For the example given in Figure 1, the PUSCH power control adjustment state </w:t>
      </w:r>
      <w:r w:rsidR="00465248" w:rsidRPr="008222A2">
        <w:t xml:space="preserve">for active uplink BWP </w:t>
      </w:r>
      <w:r w:rsidR="00465248" w:rsidRPr="008222A2">
        <w:rPr>
          <w:i/>
        </w:rPr>
        <w:t>b</w:t>
      </w:r>
      <w:r w:rsidR="00465248" w:rsidRPr="008222A2">
        <w:t xml:space="preserve"> of carrier </w:t>
      </w:r>
      <w:r w:rsidR="00465248" w:rsidRPr="008222A2">
        <w:rPr>
          <w:i/>
        </w:rPr>
        <w:t>f</w:t>
      </w:r>
      <w:r w:rsidR="00465248" w:rsidRPr="008222A2">
        <w:t xml:space="preserve"> of serving cell </w:t>
      </w:r>
      <w:r w:rsidR="00465248" w:rsidRPr="008222A2">
        <w:rPr>
          <w:i/>
        </w:rPr>
        <w:t>c</w:t>
      </w:r>
      <w:r w:rsidR="00465248" w:rsidRPr="008222A2">
        <w:t xml:space="preserve"> is given as:</w:t>
      </w:r>
    </w:p>
    <w:p w14:paraId="66F682FA" w14:textId="47472901"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(A,l)</w:t>
      </w:r>
      <w:r w:rsidRPr="008222A2">
        <w:rPr>
          <w:rFonts w:ascii="Times New Roman" w:hAnsi="Times New Roman"/>
          <w:sz w:val="20"/>
          <w:szCs w:val="20"/>
        </w:rPr>
        <w:t xml:space="preserve"> = TPC_</w:t>
      </w:r>
      <w:r w:rsidRPr="008222A2">
        <w:rPr>
          <w:rFonts w:ascii="Times New Roman" w:hAnsi="Times New Roman"/>
          <w:i/>
          <w:sz w:val="20"/>
          <w:szCs w:val="20"/>
        </w:rPr>
        <w:t>A</w:t>
      </w:r>
    </w:p>
    <w:p w14:paraId="0FFCE3B5" w14:textId="55A764EB"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(B,l) = f_b,f,c (A,l)</w:t>
      </w:r>
      <w:r w:rsidRPr="008222A2">
        <w:rPr>
          <w:rFonts w:ascii="Times New Roman" w:hAnsi="Times New Roman"/>
          <w:sz w:val="20"/>
          <w:szCs w:val="20"/>
        </w:rPr>
        <w:t xml:space="preserve"> + TPC_</w:t>
      </w:r>
      <w:r w:rsidRPr="008222A2">
        <w:rPr>
          <w:rFonts w:ascii="Times New Roman" w:hAnsi="Times New Roman"/>
          <w:i/>
          <w:sz w:val="20"/>
          <w:szCs w:val="20"/>
        </w:rPr>
        <w:t>B</w:t>
      </w:r>
    </w:p>
    <w:p w14:paraId="354555E9" w14:textId="709C2E45" w:rsidR="00465248" w:rsidRPr="008222A2" w:rsidRDefault="00465248" w:rsidP="00465248">
      <w:pPr>
        <w:pStyle w:val="ListParagraph"/>
        <w:numPr>
          <w:ilvl w:val="0"/>
          <w:numId w:val="34"/>
        </w:numPr>
        <w:jc w:val="both"/>
        <w:rPr>
          <w:rFonts w:ascii="Times New Roman" w:hAnsi="Times New Roman"/>
          <w:sz w:val="20"/>
          <w:szCs w:val="20"/>
        </w:rPr>
      </w:pPr>
      <w:r w:rsidRPr="008222A2">
        <w:rPr>
          <w:rFonts w:ascii="Times New Roman" w:hAnsi="Times New Roman"/>
          <w:i/>
          <w:sz w:val="20"/>
          <w:szCs w:val="20"/>
        </w:rPr>
        <w:t>f_b,f,c (C,l)</w:t>
      </w:r>
      <w:r w:rsidRPr="008222A2">
        <w:rPr>
          <w:rFonts w:ascii="Times New Roman" w:hAnsi="Times New Roman"/>
          <w:sz w:val="20"/>
          <w:szCs w:val="20"/>
        </w:rPr>
        <w:t xml:space="preserve"> = </w:t>
      </w:r>
      <w:r w:rsidRPr="008222A2">
        <w:rPr>
          <w:rFonts w:ascii="Times New Roman" w:hAnsi="Times New Roman"/>
          <w:i/>
          <w:sz w:val="20"/>
          <w:szCs w:val="20"/>
        </w:rPr>
        <w:t>f_b,f,c (B,l)</w:t>
      </w:r>
      <w:r w:rsidRPr="008222A2">
        <w:rPr>
          <w:rFonts w:ascii="Times New Roman" w:hAnsi="Times New Roman"/>
          <w:sz w:val="20"/>
          <w:szCs w:val="20"/>
        </w:rPr>
        <w:t xml:space="preserve"> + TPC_</w:t>
      </w:r>
      <w:r w:rsidRPr="008222A2">
        <w:rPr>
          <w:rFonts w:ascii="Times New Roman" w:hAnsi="Times New Roman"/>
          <w:i/>
          <w:sz w:val="20"/>
          <w:szCs w:val="20"/>
        </w:rPr>
        <w:t>C.</w:t>
      </w:r>
    </w:p>
    <w:p w14:paraId="32A80A33" w14:textId="6AEFC3DE" w:rsidR="00465248" w:rsidRPr="008222A2" w:rsidRDefault="00465248" w:rsidP="00465248">
      <w:pPr>
        <w:jc w:val="both"/>
      </w:pPr>
    </w:p>
    <w:p w14:paraId="0B3A0C45" w14:textId="50F0AEBE" w:rsidR="00465248" w:rsidRPr="008222A2" w:rsidRDefault="00465248" w:rsidP="00465248">
      <w:pPr>
        <w:jc w:val="both"/>
      </w:pPr>
      <w:r w:rsidRPr="008222A2">
        <w:t xml:space="preserve">As can be seen from these equations, at each occasion, there is only one adjustment state to track. Once a new TPC (either via a UE-specific DCI or a group-specific DCI) is received, the adjustment state is updated, and only the new state is used for the future updates. </w:t>
      </w:r>
    </w:p>
    <w:p w14:paraId="3C6C96F3" w14:textId="018B7FFD" w:rsidR="00465248" w:rsidRPr="008222A2" w:rsidRDefault="00465248" w:rsidP="00465248">
      <w:pPr>
        <w:jc w:val="both"/>
      </w:pPr>
      <w:r w:rsidRPr="008222A2">
        <w:t xml:space="preserve">However, if the transmissions are </w:t>
      </w:r>
      <w:r w:rsidR="00324F10" w:rsidRPr="008222A2">
        <w:t>out of order</w:t>
      </w:r>
      <w:r w:rsidRPr="008222A2">
        <w:t>, the Rel. 15 equations do not work. An example of TPC accumulation with out-of-order PUSCH scheduling is depicted in Figure 2 below:</w:t>
      </w:r>
    </w:p>
    <w:p w14:paraId="7CEA2F28" w14:textId="77777777" w:rsidR="007B0E2B" w:rsidRDefault="007B0E2B" w:rsidP="007B0E2B">
      <w:pPr>
        <w:keepNext/>
        <w:jc w:val="center"/>
      </w:pPr>
      <w:r>
        <w:object w:dxaOrig="12631" w:dyaOrig="3106" w14:anchorId="1BDD54C0">
          <v:shape id="_x0000_i1027" type="#_x0000_t75" style="width:403pt;height:101pt" o:ole="">
            <v:imagedata r:id="rId17" o:title=""/>
          </v:shape>
          <o:OLEObject Type="Embed" ProgID="Visio.Drawing.15" ShapeID="_x0000_i1027" DrawAspect="Content" ObjectID="_1618430988" r:id="rId18"/>
        </w:object>
      </w:r>
    </w:p>
    <w:p w14:paraId="52DAD82A" w14:textId="562AA324" w:rsidR="007B0E2B" w:rsidRDefault="007B0E2B" w:rsidP="007B0E2B">
      <w:pPr>
        <w:pStyle w:val="Caption"/>
        <w:jc w:val="center"/>
      </w:pPr>
      <w:r>
        <w:t xml:space="preserve">Figure </w:t>
      </w:r>
      <w:r w:rsidR="00A8386C">
        <w:rPr>
          <w:noProof/>
        </w:rPr>
        <w:fldChar w:fldCharType="begin"/>
      </w:r>
      <w:r w:rsidR="00A8386C">
        <w:rPr>
          <w:noProof/>
        </w:rPr>
        <w:instrText xml:space="preserve"> SEQ Figure \* ARABIC </w:instrText>
      </w:r>
      <w:r w:rsidR="00A8386C">
        <w:rPr>
          <w:noProof/>
        </w:rPr>
        <w:fldChar w:fldCharType="separate"/>
      </w:r>
      <w:r w:rsidR="006D10DA">
        <w:rPr>
          <w:noProof/>
        </w:rPr>
        <w:t>3</w:t>
      </w:r>
      <w:r w:rsidR="00A8386C">
        <w:rPr>
          <w:noProof/>
        </w:rPr>
        <w:fldChar w:fldCharType="end"/>
      </w:r>
      <w:r>
        <w:t>: An example of out-of-order PUSCH scheduling.</w:t>
      </w:r>
    </w:p>
    <w:p w14:paraId="20D8A5BB" w14:textId="474BCA26" w:rsidR="007B0E2B" w:rsidRPr="008222A2" w:rsidRDefault="007B0E2B" w:rsidP="00180DEF">
      <w:pPr>
        <w:jc w:val="both"/>
      </w:pPr>
      <w:r w:rsidRPr="008222A2">
        <w:t xml:space="preserve">In this example, </w:t>
      </w:r>
      <w:r w:rsidR="00180DEF" w:rsidRPr="008222A2">
        <w:t>PUSCH B and C are out of order; PUSCH C is of high priority, and could not tolerate a long scheduling latency. If the TPC accumulation of NR Rel. 15 is followed, the adjustment states at different occasions are given as follows:</w:t>
      </w:r>
    </w:p>
    <w:p w14:paraId="2A1B9CB7" w14:textId="77777777"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(A,l)</w:t>
      </w:r>
      <w:r w:rsidRPr="008222A2">
        <w:rPr>
          <w:rFonts w:ascii="Times New Roman" w:hAnsi="Times New Roman"/>
          <w:sz w:val="20"/>
        </w:rPr>
        <w:t xml:space="preserve"> = TPC_</w:t>
      </w:r>
      <w:r w:rsidRPr="008222A2">
        <w:rPr>
          <w:rFonts w:ascii="Times New Roman" w:hAnsi="Times New Roman"/>
          <w:i/>
          <w:sz w:val="20"/>
        </w:rPr>
        <w:t>A</w:t>
      </w:r>
    </w:p>
    <w:p w14:paraId="0057DAA5" w14:textId="77777777"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(B,l) = f_b,f,c (A,l)</w:t>
      </w:r>
      <w:r w:rsidRPr="008222A2">
        <w:rPr>
          <w:rFonts w:ascii="Times New Roman" w:hAnsi="Times New Roman"/>
          <w:sz w:val="20"/>
        </w:rPr>
        <w:t xml:space="preserve"> + TPC_</w:t>
      </w:r>
      <w:r w:rsidRPr="008222A2">
        <w:rPr>
          <w:rFonts w:ascii="Times New Roman" w:hAnsi="Times New Roman"/>
          <w:i/>
          <w:sz w:val="20"/>
        </w:rPr>
        <w:t>B</w:t>
      </w:r>
    </w:p>
    <w:p w14:paraId="456BAE54" w14:textId="210C577E"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(C,l)</w:t>
      </w:r>
      <w:r w:rsidRPr="008222A2">
        <w:rPr>
          <w:rFonts w:ascii="Times New Roman" w:hAnsi="Times New Roman"/>
          <w:sz w:val="20"/>
        </w:rPr>
        <w:t xml:space="preserve"> = </w:t>
      </w:r>
      <w:r w:rsidRPr="008222A2">
        <w:rPr>
          <w:rFonts w:ascii="Times New Roman" w:hAnsi="Times New Roman"/>
          <w:i/>
          <w:sz w:val="20"/>
        </w:rPr>
        <w:t>f_b,f,c (A,l)</w:t>
      </w:r>
      <w:r w:rsidRPr="008222A2">
        <w:rPr>
          <w:rFonts w:ascii="Times New Roman" w:hAnsi="Times New Roman"/>
          <w:sz w:val="20"/>
        </w:rPr>
        <w:t xml:space="preserve"> + TPC_</w:t>
      </w:r>
      <w:r w:rsidRPr="008222A2">
        <w:rPr>
          <w:rFonts w:ascii="Times New Roman" w:hAnsi="Times New Roman"/>
          <w:i/>
          <w:sz w:val="20"/>
        </w:rPr>
        <w:t>C.</w:t>
      </w:r>
    </w:p>
    <w:p w14:paraId="21366F48" w14:textId="70D1AD7C" w:rsidR="00180DEF" w:rsidRPr="008222A2" w:rsidRDefault="00180DEF" w:rsidP="00180DEF">
      <w:pPr>
        <w:pStyle w:val="ListParagraph"/>
        <w:numPr>
          <w:ilvl w:val="0"/>
          <w:numId w:val="34"/>
        </w:numPr>
        <w:jc w:val="both"/>
        <w:rPr>
          <w:rFonts w:ascii="Times New Roman" w:hAnsi="Times New Roman"/>
          <w:sz w:val="20"/>
        </w:rPr>
      </w:pPr>
      <w:r w:rsidRPr="008222A2">
        <w:rPr>
          <w:rFonts w:ascii="Times New Roman" w:hAnsi="Times New Roman"/>
          <w:i/>
          <w:sz w:val="20"/>
        </w:rPr>
        <w:t>f_b,f,c (D,l)</w:t>
      </w:r>
      <w:r w:rsidRPr="008222A2">
        <w:rPr>
          <w:rFonts w:ascii="Times New Roman" w:hAnsi="Times New Roman"/>
          <w:sz w:val="20"/>
        </w:rPr>
        <w:t xml:space="preserve"> = </w:t>
      </w:r>
      <w:r w:rsidRPr="008222A2">
        <w:rPr>
          <w:rFonts w:ascii="Times New Roman" w:hAnsi="Times New Roman"/>
          <w:i/>
          <w:sz w:val="20"/>
        </w:rPr>
        <w:t>f_b,f,c (B,l)</w:t>
      </w:r>
      <w:r w:rsidRPr="008222A2">
        <w:rPr>
          <w:rFonts w:ascii="Times New Roman" w:hAnsi="Times New Roman"/>
          <w:sz w:val="20"/>
        </w:rPr>
        <w:t xml:space="preserve"> + TPC_</w:t>
      </w:r>
      <w:r w:rsidRPr="008222A2">
        <w:rPr>
          <w:rFonts w:ascii="Times New Roman" w:hAnsi="Times New Roman"/>
          <w:i/>
          <w:sz w:val="20"/>
        </w:rPr>
        <w:t xml:space="preserve">C + </w:t>
      </w:r>
      <w:r w:rsidRPr="008222A2">
        <w:rPr>
          <w:rFonts w:ascii="Times New Roman" w:hAnsi="Times New Roman"/>
          <w:sz w:val="20"/>
        </w:rPr>
        <w:t>TPC</w:t>
      </w:r>
      <w:r w:rsidRPr="008222A2">
        <w:rPr>
          <w:rFonts w:ascii="Times New Roman" w:hAnsi="Times New Roman"/>
          <w:i/>
          <w:sz w:val="20"/>
        </w:rPr>
        <w:t>_D.</w:t>
      </w:r>
    </w:p>
    <w:p w14:paraId="71854860" w14:textId="3BD3AF5B" w:rsidR="00180DEF" w:rsidRDefault="00180DEF" w:rsidP="00180DEF">
      <w:pPr>
        <w:jc w:val="both"/>
      </w:pPr>
    </w:p>
    <w:p w14:paraId="42FAFF57" w14:textId="5FB9CAE0" w:rsidR="00180DEF" w:rsidRPr="008222A2" w:rsidRDefault="00180DEF" w:rsidP="00180DEF">
      <w:pPr>
        <w:jc w:val="both"/>
      </w:pPr>
      <w:r w:rsidRPr="008222A2">
        <w:t>As can be observed from these equations, there are two main issues with this approach: (1) There are multiple accumulator</w:t>
      </w:r>
      <w:r w:rsidR="00324F10" w:rsidRPr="008222A2">
        <w:t>s</w:t>
      </w:r>
      <w:r w:rsidRPr="008222A2">
        <w:t xml:space="preserve"> running in parallel for a given adjustment state, and (2) some TPC commands are double counted. </w:t>
      </w:r>
    </w:p>
    <w:p w14:paraId="4196F416" w14:textId="4FF60928" w:rsidR="00180DEF" w:rsidRPr="008222A2" w:rsidRDefault="002C549E" w:rsidP="00180DEF">
      <w:pPr>
        <w:jc w:val="both"/>
      </w:pPr>
      <w:r w:rsidRPr="008222A2">
        <w:t xml:space="preserve">Considering the fact that channles of different priorities essentially have diverse latency and reliability requirements, it is reasonable to keep their uplink power update separate. </w:t>
      </w:r>
      <w:r w:rsidR="00FD0B92" w:rsidRPr="008222A2">
        <w:t xml:space="preserve">This can be done by </w:t>
      </w:r>
      <w:r w:rsidR="00EB6579" w:rsidRPr="008222A2">
        <w:t>explicitly indicating the priority of the channels at the physical layer and to ensure that out-of-order HARQ and PUSCH scheduling is limited across channels of different priorities. Then, within each priority, the transmissions are all in-order, and the Rel. 15 NR TPC accumulation formulations can directly be used.</w:t>
      </w:r>
    </w:p>
    <w:p w14:paraId="2CCA320D" w14:textId="3254A564" w:rsidR="00EB6579" w:rsidRPr="008222A2" w:rsidRDefault="00EB6579" w:rsidP="00180DEF">
      <w:pPr>
        <w:jc w:val="both"/>
        <w:rPr>
          <w:b/>
        </w:rPr>
      </w:pPr>
      <w:r w:rsidRPr="008222A2">
        <w:rPr>
          <w:b/>
        </w:rPr>
        <w:t xml:space="preserve">Proposal </w:t>
      </w:r>
      <w:r w:rsidR="00566558" w:rsidRPr="008222A2">
        <w:rPr>
          <w:b/>
        </w:rPr>
        <w:t>8</w:t>
      </w:r>
      <w:r w:rsidRPr="008222A2">
        <w:rPr>
          <w:b/>
        </w:rPr>
        <w:t>: The TPC accumulation of NR Rel. 15 is performed across the channels of the same priority</w:t>
      </w:r>
      <w:r w:rsidR="00342B28">
        <w:rPr>
          <w:b/>
        </w:rPr>
        <w:t xml:space="preserve"> separately</w:t>
      </w:r>
      <w:r w:rsidRPr="008222A2">
        <w:rPr>
          <w:b/>
        </w:rPr>
        <w:t>, where the channel priority is given by a physical layer indication.</w:t>
      </w:r>
    </w:p>
    <w:p w14:paraId="1D923B10" w14:textId="631C0260" w:rsidR="003A3006" w:rsidRDefault="00B53AB0" w:rsidP="00F03EDF">
      <w:pPr>
        <w:pStyle w:val="Heading1"/>
        <w:jc w:val="both"/>
        <w:rPr>
          <w:rFonts w:ascii="Times New Roman" w:hAnsi="Times New Roman"/>
        </w:rPr>
      </w:pPr>
      <w:r>
        <w:rPr>
          <w:rFonts w:ascii="Times New Roman" w:hAnsi="Times New Roman"/>
        </w:rPr>
        <w:t>Conclusion</w:t>
      </w:r>
    </w:p>
    <w:p w14:paraId="094E0A44" w14:textId="77777777" w:rsidR="00B05B91" w:rsidRDefault="00B05B91" w:rsidP="00B05B91">
      <w:pPr>
        <w:jc w:val="both"/>
        <w:rPr>
          <w:b/>
          <w:lang w:val="en-GB"/>
        </w:rPr>
      </w:pPr>
      <w:bookmarkStart w:id="4" w:name="_Ref450583331"/>
      <w:bookmarkEnd w:id="4"/>
      <w:r w:rsidRPr="00DF1243">
        <w:rPr>
          <w:b/>
          <w:lang w:val="en-GB"/>
        </w:rPr>
        <w:t>Observation 1: From the operation point of view, if multiple processing tim</w:t>
      </w:r>
      <w:r>
        <w:rPr>
          <w:b/>
          <w:lang w:val="en-GB"/>
        </w:rPr>
        <w:t>ing</w:t>
      </w:r>
      <w:r w:rsidRPr="00DF1243">
        <w:rPr>
          <w:b/>
          <w:lang w:val="en-GB"/>
        </w:rPr>
        <w:t xml:space="preserve"> capabilities are allowed on the same serving cell, the timeline for each channel can be set based on its allocation and its particular use case. </w:t>
      </w:r>
      <w:r>
        <w:rPr>
          <w:b/>
          <w:lang w:val="en-GB"/>
        </w:rPr>
        <w:t xml:space="preserve">On the same serving cell, URLLC can be scheduled to follow a fast timeline and eMBB can be scheduled to follow a slow timeline. </w:t>
      </w:r>
    </w:p>
    <w:p w14:paraId="0B30D1B7" w14:textId="77777777" w:rsidR="00990941" w:rsidRPr="00990941" w:rsidRDefault="00990941" w:rsidP="00990941">
      <w:pPr>
        <w:jc w:val="both"/>
        <w:rPr>
          <w:b/>
          <w:lang w:val="en-GB"/>
        </w:rPr>
      </w:pPr>
      <w:r w:rsidRPr="00990941">
        <w:rPr>
          <w:b/>
          <w:lang w:val="en-GB"/>
        </w:rPr>
        <w:t xml:space="preserve">Observation 2: From the deployment point of view, if multiple processing timing capabalities are allowed on the same serving cell, a larger aggregated bandwidth can be used for supporting different services. </w:t>
      </w:r>
    </w:p>
    <w:p w14:paraId="3681196F" w14:textId="77777777" w:rsidR="00EF376B" w:rsidRPr="00B05B91" w:rsidRDefault="00EF376B" w:rsidP="00EF376B">
      <w:pPr>
        <w:jc w:val="both"/>
        <w:rPr>
          <w:b/>
          <w:lang w:val="en-GB"/>
        </w:rPr>
      </w:pPr>
      <w:r w:rsidRPr="00B05B91">
        <w:rPr>
          <w:b/>
          <w:lang w:val="en-GB"/>
        </w:rPr>
        <w:lastRenderedPageBreak/>
        <w:t>Proposal</w:t>
      </w:r>
      <w:r>
        <w:rPr>
          <w:b/>
          <w:lang w:val="en-GB"/>
        </w:rPr>
        <w:t xml:space="preserve"> 1</w:t>
      </w:r>
      <w:r w:rsidRPr="00B05B91">
        <w:rPr>
          <w:b/>
          <w:lang w:val="en-GB"/>
        </w:rPr>
        <w:t>: In Rel. 15, channels with different timing capabilities should be allowed to be scheduled on the serving cell concurrently. Channels associated with different timing capabilities (i.e., slow cap#1 vs. fast cap#1 and cap#1 vs. cap#2) can be scheduled out of order.</w:t>
      </w:r>
    </w:p>
    <w:p w14:paraId="65CBF862" w14:textId="77777777" w:rsidR="00CA2C0D" w:rsidRDefault="00CA2C0D" w:rsidP="00CA2C0D">
      <w:pPr>
        <w:tabs>
          <w:tab w:val="left" w:pos="1014"/>
        </w:tabs>
        <w:spacing w:line="252" w:lineRule="auto"/>
        <w:jc w:val="both"/>
        <w:rPr>
          <w:b/>
          <w:bCs/>
          <w:iCs/>
        </w:rPr>
      </w:pPr>
      <w:r w:rsidRPr="00CA2C0D">
        <w:rPr>
          <w:b/>
          <w:bCs/>
          <w:iCs/>
        </w:rPr>
        <w:t xml:space="preserve">Proposal 2: For supporting the out-of-order operation, while allowing for different minimum processing timing capabilities on the same serving cell, Solution 2 is not supported. </w:t>
      </w:r>
    </w:p>
    <w:p w14:paraId="5D04B6CB" w14:textId="77777777" w:rsidR="00CA2C0D" w:rsidRDefault="00CA2C0D" w:rsidP="00CA2C0D">
      <w:pPr>
        <w:tabs>
          <w:tab w:val="left" w:pos="1014"/>
        </w:tabs>
        <w:spacing w:line="252" w:lineRule="auto"/>
        <w:jc w:val="both"/>
        <w:rPr>
          <w:b/>
          <w:bCs/>
          <w:iCs/>
        </w:rPr>
      </w:pPr>
      <w:r>
        <w:rPr>
          <w:b/>
          <w:bCs/>
          <w:iCs/>
        </w:rPr>
        <w:t>Observation 3: Adopting solutions 1, 4-Alt1 and 4-Alt2 degrades the performance of the low priority channels. Such impacts can and should be avoided.</w:t>
      </w:r>
    </w:p>
    <w:p w14:paraId="72D79716" w14:textId="77777777" w:rsidR="003F72E7" w:rsidRPr="00CA2C0D" w:rsidRDefault="003F72E7" w:rsidP="003F72E7">
      <w:pPr>
        <w:tabs>
          <w:tab w:val="left" w:pos="1014"/>
        </w:tabs>
        <w:spacing w:line="252" w:lineRule="auto"/>
        <w:jc w:val="both"/>
        <w:rPr>
          <w:b/>
          <w:bCs/>
          <w:iCs/>
        </w:rPr>
      </w:pPr>
      <w:r>
        <w:rPr>
          <w:b/>
          <w:bCs/>
          <w:iCs/>
        </w:rPr>
        <w:t>Observation 4: Solution 3 allows for an efficient multiplexing of channels/services requiring different minimum processing timing capabilities on the same serving cell. Under Solution 3, all channels are guaranteed to be processed, and there is no scheduling restriction imposed on the gNB. Finally, the support for out-of-order operation under Solution 3 is not dependent on the UE CA capability; both the CA capable and CA incapable UEs can support the out-of-order operation as a capability.</w:t>
      </w:r>
    </w:p>
    <w:p w14:paraId="1783225D" w14:textId="77777777" w:rsidR="00D95009" w:rsidRPr="00DA6755" w:rsidRDefault="00D95009" w:rsidP="00D95009">
      <w:pPr>
        <w:jc w:val="both"/>
        <w:rPr>
          <w:b/>
          <w:lang w:val="en-GB"/>
        </w:rPr>
      </w:pPr>
      <w:r w:rsidRPr="008A210A">
        <w:rPr>
          <w:b/>
          <w:lang w:val="en-GB"/>
        </w:rPr>
        <w:t xml:space="preserve">Proposal 3: To support the out-of-order HARQ and uplink scheduling in Rel. 16, the UE indicates </w:t>
      </w:r>
      <w:r>
        <w:rPr>
          <w:b/>
          <w:lang w:val="en-GB"/>
        </w:rPr>
        <w:t>the number of CCs that can be supported for low priority services and the number of CCs that can be supported for high priority services. The channels associated with different priorities can be scheduled in an out-of-order fashion. The UE processes both the low priority and the high priority channels without dropping except for the case that two PUSCHs are overlapping.</w:t>
      </w:r>
    </w:p>
    <w:p w14:paraId="2E2E2628" w14:textId="77777777" w:rsidR="00DA6755" w:rsidRPr="008222A2" w:rsidRDefault="00DA6755" w:rsidP="00DA6755">
      <w:pPr>
        <w:jc w:val="both"/>
        <w:rPr>
          <w:b/>
          <w:lang w:val="en-GB"/>
        </w:rPr>
      </w:pPr>
      <w:r w:rsidRPr="008222A2">
        <w:rPr>
          <w:b/>
          <w:lang w:val="en-GB"/>
        </w:rPr>
        <w:t xml:space="preserve">Proposal </w:t>
      </w:r>
      <w:r>
        <w:rPr>
          <w:b/>
          <w:lang w:val="en-GB"/>
        </w:rPr>
        <w:t>4</w:t>
      </w:r>
      <w:r w:rsidRPr="008222A2">
        <w:rPr>
          <w:b/>
          <w:lang w:val="en-GB"/>
        </w:rPr>
        <w:t>: The out-of-order PDCCH to PDSCH is only supported for transmission of different TBs.</w:t>
      </w:r>
    </w:p>
    <w:p w14:paraId="6A78A5C0" w14:textId="77777777" w:rsidR="00DA6755" w:rsidRPr="0084006B" w:rsidRDefault="00DA6755" w:rsidP="00DA6755">
      <w:pPr>
        <w:overflowPunct/>
        <w:autoSpaceDE/>
        <w:autoSpaceDN/>
        <w:adjustRightInd/>
        <w:spacing w:after="160" w:line="252" w:lineRule="auto"/>
        <w:jc w:val="both"/>
        <w:textAlignment w:val="auto"/>
        <w:rPr>
          <w:rFonts w:eastAsia="Times New Roman"/>
          <w:b/>
          <w:szCs w:val="22"/>
        </w:rPr>
      </w:pPr>
      <w:r w:rsidRPr="008222A2">
        <w:rPr>
          <w:b/>
          <w:lang w:val="en-GB"/>
        </w:rPr>
        <w:t xml:space="preserve">Proposal </w:t>
      </w:r>
      <w:r>
        <w:rPr>
          <w:b/>
          <w:lang w:val="en-GB"/>
        </w:rPr>
        <w:t>5</w:t>
      </w:r>
      <w:r w:rsidRPr="008222A2">
        <w:rPr>
          <w:b/>
          <w:lang w:val="en-GB"/>
        </w:rPr>
        <w:t xml:space="preserve">: </w:t>
      </w:r>
      <w:r w:rsidRPr="008222A2">
        <w:rPr>
          <w:rFonts w:eastAsia="Times New Roman"/>
          <w:b/>
          <w:szCs w:val="22"/>
        </w:rPr>
        <w:t xml:space="preserve">A UE </w:t>
      </w:r>
      <w:r w:rsidRPr="008222A2">
        <w:rPr>
          <w:b/>
          <w:szCs w:val="22"/>
        </w:rPr>
        <w:t>only expects a maximum of one out-of-order PDCCH-to-PDSCH flow on the active BWP of a given serving cell.</w:t>
      </w:r>
    </w:p>
    <w:p w14:paraId="021BDCB4" w14:textId="77777777" w:rsidR="00DA6755" w:rsidRPr="008222A2" w:rsidRDefault="00DA6755" w:rsidP="00DA6755">
      <w:pPr>
        <w:jc w:val="both"/>
        <w:rPr>
          <w:b/>
          <w:lang w:val="en-GB"/>
        </w:rPr>
      </w:pPr>
      <w:r w:rsidRPr="008222A2">
        <w:rPr>
          <w:b/>
          <w:lang w:val="en-GB"/>
        </w:rPr>
        <w:t xml:space="preserve">Proposal </w:t>
      </w:r>
      <w:r>
        <w:rPr>
          <w:b/>
          <w:lang w:val="en-GB"/>
        </w:rPr>
        <w:t>6</w:t>
      </w:r>
      <w:r w:rsidRPr="008222A2">
        <w:rPr>
          <w:b/>
          <w:lang w:val="en-GB"/>
        </w:rPr>
        <w:t xml:space="preserve">: The priority of PDSCHs are indicated at the PHY layer. </w:t>
      </w:r>
      <w:r>
        <w:rPr>
          <w:b/>
          <w:lang w:val="en-GB"/>
        </w:rPr>
        <w:t>Only PDSCHs of different priorities</w:t>
      </w:r>
      <w:r w:rsidRPr="008222A2">
        <w:rPr>
          <w:b/>
          <w:lang w:val="en-GB"/>
        </w:rPr>
        <w:t xml:space="preserve"> </w:t>
      </w:r>
      <w:r>
        <w:rPr>
          <w:b/>
          <w:lang w:val="en-GB"/>
        </w:rPr>
        <w:t>can be allowed to be overlapping</w:t>
      </w:r>
      <w:r w:rsidRPr="008222A2">
        <w:rPr>
          <w:b/>
          <w:lang w:val="en-GB"/>
        </w:rPr>
        <w:t xml:space="preserve">. </w:t>
      </w:r>
    </w:p>
    <w:p w14:paraId="31CB7133" w14:textId="77777777" w:rsidR="001C198F" w:rsidRPr="0032415B" w:rsidRDefault="001C198F" w:rsidP="001C198F">
      <w:pPr>
        <w:jc w:val="both"/>
        <w:rPr>
          <w:b/>
          <w:lang w:val="en-GB"/>
        </w:rPr>
      </w:pPr>
      <w:r w:rsidRPr="0032415B">
        <w:rPr>
          <w:b/>
          <w:szCs w:val="22"/>
          <w:lang w:val="en-GB"/>
        </w:rPr>
        <w:t xml:space="preserve">Proposal 7: For handling the collision between the low and high priority PDSCHs, the UE </w:t>
      </w:r>
      <w:r w:rsidRPr="008A210A">
        <w:rPr>
          <w:b/>
          <w:lang w:val="en-GB"/>
        </w:rPr>
        <w:t xml:space="preserve">indicates </w:t>
      </w:r>
      <w:r>
        <w:rPr>
          <w:b/>
          <w:lang w:val="en-GB"/>
        </w:rPr>
        <w:t xml:space="preserve">the number of CCs that can be supported for low priority services and the number of CCs that can be supported for high priority services. The PDSCHs associated with different priorities can be overlapping. The UE processes both the low priority and the high priority PDSCHs without dropping. </w:t>
      </w:r>
    </w:p>
    <w:p w14:paraId="133B50F0" w14:textId="45AE4CC0" w:rsidR="00EB6579" w:rsidRPr="008222A2" w:rsidRDefault="00342B28" w:rsidP="00EB6579">
      <w:pPr>
        <w:jc w:val="both"/>
        <w:rPr>
          <w:b/>
        </w:rPr>
      </w:pPr>
      <w:r w:rsidRPr="008222A2">
        <w:rPr>
          <w:b/>
        </w:rPr>
        <w:t>Proposal 8: The TPC accumulation of NR Rel. 15 is performed across the channels of the same priority</w:t>
      </w:r>
      <w:r>
        <w:rPr>
          <w:b/>
        </w:rPr>
        <w:t xml:space="preserve"> separately</w:t>
      </w:r>
      <w:r w:rsidRPr="008222A2">
        <w:rPr>
          <w:b/>
        </w:rPr>
        <w:t>, where the channel priority is given by a physical layer indication.</w:t>
      </w:r>
    </w:p>
    <w:p w14:paraId="37AE6377" w14:textId="34064362" w:rsidR="00021AE2" w:rsidRDefault="00021AE2" w:rsidP="00021AE2">
      <w:pPr>
        <w:pStyle w:val="Heading1"/>
        <w:jc w:val="both"/>
        <w:rPr>
          <w:rFonts w:ascii="Times New Roman" w:hAnsi="Times New Roman"/>
        </w:rPr>
      </w:pPr>
      <w:r>
        <w:rPr>
          <w:rFonts w:ascii="Times New Roman" w:hAnsi="Times New Roman"/>
        </w:rPr>
        <w:t>Reference</w:t>
      </w:r>
    </w:p>
    <w:p w14:paraId="17BEDA63" w14:textId="0E0ECEC6" w:rsidR="00381EEA" w:rsidRDefault="00721265" w:rsidP="003942B4">
      <w:pPr>
        <w:jc w:val="both"/>
        <w:rPr>
          <w:b/>
          <w:szCs w:val="22"/>
          <w:lang w:eastAsia="zh-CN"/>
        </w:rPr>
      </w:pPr>
      <w:r w:rsidRPr="008222A2">
        <w:rPr>
          <w:rFonts w:asciiTheme="majorBidi" w:hAnsiTheme="majorBidi" w:cstheme="majorBidi"/>
          <w:b/>
          <w:szCs w:val="22"/>
        </w:rPr>
        <w:t xml:space="preserve">[1] RP-190726, </w:t>
      </w:r>
      <w:bookmarkStart w:id="5" w:name="OLE_LINK3"/>
      <w:r w:rsidRPr="008222A2">
        <w:rPr>
          <w:rFonts w:asciiTheme="majorBidi" w:hAnsiTheme="majorBidi" w:cstheme="majorBidi"/>
          <w:b/>
          <w:szCs w:val="22"/>
        </w:rPr>
        <w:t>“</w:t>
      </w:r>
      <w:r w:rsidRPr="008222A2">
        <w:rPr>
          <w:rFonts w:eastAsia="Batang"/>
          <w:b/>
          <w:szCs w:val="22"/>
          <w:lang w:eastAsia="zh-CN"/>
        </w:rPr>
        <w:t>New WID: Physical Layer Enhancements for NR</w:t>
      </w:r>
      <w:r w:rsidRPr="008222A2">
        <w:rPr>
          <w:b/>
          <w:szCs w:val="22"/>
          <w:lang w:eastAsia="zh-CN"/>
        </w:rPr>
        <w:t xml:space="preserve"> Ultra-Reliable and Low Latency Communication</w:t>
      </w:r>
      <w:r w:rsidRPr="008222A2">
        <w:rPr>
          <w:rFonts w:eastAsia="Batang"/>
          <w:b/>
          <w:szCs w:val="22"/>
          <w:lang w:eastAsia="zh-CN"/>
        </w:rPr>
        <w:t xml:space="preserve"> </w:t>
      </w:r>
      <w:r w:rsidRPr="008222A2">
        <w:rPr>
          <w:b/>
          <w:szCs w:val="22"/>
          <w:lang w:eastAsia="zh-CN"/>
        </w:rPr>
        <w:t>(</w:t>
      </w:r>
      <w:r w:rsidRPr="008222A2">
        <w:rPr>
          <w:rFonts w:eastAsia="Batang"/>
          <w:b/>
          <w:szCs w:val="22"/>
          <w:lang w:eastAsia="zh-CN"/>
        </w:rPr>
        <w:t>URLLC</w:t>
      </w:r>
      <w:r w:rsidRPr="008222A2">
        <w:rPr>
          <w:b/>
          <w:szCs w:val="22"/>
          <w:lang w:eastAsia="zh-CN"/>
        </w:rPr>
        <w:t>)</w:t>
      </w:r>
      <w:bookmarkEnd w:id="5"/>
      <w:r w:rsidRPr="008222A2">
        <w:rPr>
          <w:b/>
          <w:szCs w:val="22"/>
          <w:lang w:eastAsia="zh-CN"/>
        </w:rPr>
        <w:t>,” Huawei, Mar, 2019, Shenzhen China</w:t>
      </w:r>
    </w:p>
    <w:p w14:paraId="691F40CB" w14:textId="4AC3440E" w:rsidR="00EC0A41" w:rsidRPr="008222A2" w:rsidRDefault="00EC0A41" w:rsidP="003942B4">
      <w:pPr>
        <w:jc w:val="both"/>
        <w:rPr>
          <w:b/>
          <w:szCs w:val="22"/>
          <w:lang w:eastAsia="zh-CN"/>
        </w:rPr>
      </w:pPr>
    </w:p>
    <w:sectPr w:rsidR="00EC0A41" w:rsidRPr="008222A2"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86741" w14:textId="77777777" w:rsidR="00FE78E6" w:rsidRDefault="00FE78E6">
      <w:r>
        <w:separator/>
      </w:r>
    </w:p>
  </w:endnote>
  <w:endnote w:type="continuationSeparator" w:id="0">
    <w:p w14:paraId="1AD671A4" w14:textId="77777777" w:rsidR="00FE78E6" w:rsidRDefault="00FE78E6">
      <w:r>
        <w:continuationSeparator/>
      </w:r>
    </w:p>
  </w:endnote>
  <w:endnote w:type="continuationNotice" w:id="1">
    <w:p w14:paraId="37B237ED" w14:textId="77777777" w:rsidR="00FE78E6" w:rsidRDefault="00FE7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C86121" w:rsidRDefault="00C861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C86121" w:rsidRDefault="00C8612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C86121" w:rsidRDefault="00C861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751C5" w14:textId="77777777" w:rsidR="00FE78E6" w:rsidRDefault="00FE78E6">
      <w:r>
        <w:separator/>
      </w:r>
    </w:p>
  </w:footnote>
  <w:footnote w:type="continuationSeparator" w:id="0">
    <w:p w14:paraId="57B43F3E" w14:textId="77777777" w:rsidR="00FE78E6" w:rsidRDefault="00FE78E6">
      <w:r>
        <w:continuationSeparator/>
      </w:r>
    </w:p>
  </w:footnote>
  <w:footnote w:type="continuationNotice" w:id="1">
    <w:p w14:paraId="2E1E4E96" w14:textId="77777777" w:rsidR="00FE78E6" w:rsidRDefault="00FE7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C86121" w:rsidRDefault="00C861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5E46DB"/>
    <w:multiLevelType w:val="hybridMultilevel"/>
    <w:tmpl w:val="78E2F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C2AE0"/>
    <w:multiLevelType w:val="hybridMultilevel"/>
    <w:tmpl w:val="03122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A58C8"/>
    <w:multiLevelType w:val="hybridMultilevel"/>
    <w:tmpl w:val="5F409D06"/>
    <w:lvl w:ilvl="0" w:tplc="6756EAAA">
      <w:start w:val="1"/>
      <w:numFmt w:val="bullet"/>
      <w:lvlText w:val=""/>
      <w:lvlJc w:val="left"/>
      <w:pPr>
        <w:tabs>
          <w:tab w:val="num" w:pos="720"/>
        </w:tabs>
        <w:ind w:left="720" w:hanging="360"/>
      </w:pPr>
      <w:rPr>
        <w:rFonts w:ascii="Symbol" w:hAnsi="Symbol" w:hint="default"/>
      </w:rPr>
    </w:lvl>
    <w:lvl w:ilvl="1" w:tplc="13564806">
      <w:start w:val="1"/>
      <w:numFmt w:val="bullet"/>
      <w:lvlText w:val=""/>
      <w:lvlJc w:val="left"/>
      <w:pPr>
        <w:tabs>
          <w:tab w:val="num" w:pos="1440"/>
        </w:tabs>
        <w:ind w:left="1440" w:hanging="360"/>
      </w:pPr>
      <w:rPr>
        <w:rFonts w:ascii="Symbol" w:hAnsi="Symbol" w:hint="default"/>
      </w:rPr>
    </w:lvl>
    <w:lvl w:ilvl="2" w:tplc="7E5C02D8">
      <w:start w:val="1"/>
      <w:numFmt w:val="bullet"/>
      <w:lvlText w:val=""/>
      <w:lvlJc w:val="left"/>
      <w:pPr>
        <w:tabs>
          <w:tab w:val="num" w:pos="2160"/>
        </w:tabs>
        <w:ind w:left="2160" w:hanging="360"/>
      </w:pPr>
      <w:rPr>
        <w:rFonts w:ascii="Symbol" w:hAnsi="Symbol" w:hint="default"/>
      </w:rPr>
    </w:lvl>
    <w:lvl w:ilvl="3" w:tplc="664AA716">
      <w:start w:val="1"/>
      <w:numFmt w:val="bullet"/>
      <w:lvlText w:val=""/>
      <w:lvlJc w:val="left"/>
      <w:pPr>
        <w:tabs>
          <w:tab w:val="num" w:pos="2880"/>
        </w:tabs>
        <w:ind w:left="2880" w:hanging="360"/>
      </w:pPr>
      <w:rPr>
        <w:rFonts w:ascii="Symbol" w:hAnsi="Symbol" w:hint="default"/>
      </w:rPr>
    </w:lvl>
    <w:lvl w:ilvl="4" w:tplc="5F466538">
      <w:start w:val="1"/>
      <w:numFmt w:val="bullet"/>
      <w:lvlText w:val=""/>
      <w:lvlJc w:val="left"/>
      <w:pPr>
        <w:tabs>
          <w:tab w:val="num" w:pos="3600"/>
        </w:tabs>
        <w:ind w:left="3600" w:hanging="360"/>
      </w:pPr>
      <w:rPr>
        <w:rFonts w:ascii="Symbol" w:hAnsi="Symbol" w:hint="default"/>
      </w:rPr>
    </w:lvl>
    <w:lvl w:ilvl="5" w:tplc="6C9621DC">
      <w:start w:val="1"/>
      <w:numFmt w:val="bullet"/>
      <w:lvlText w:val=""/>
      <w:lvlJc w:val="left"/>
      <w:pPr>
        <w:tabs>
          <w:tab w:val="num" w:pos="4320"/>
        </w:tabs>
        <w:ind w:left="4320" w:hanging="360"/>
      </w:pPr>
      <w:rPr>
        <w:rFonts w:ascii="Symbol" w:hAnsi="Symbol" w:hint="default"/>
      </w:rPr>
    </w:lvl>
    <w:lvl w:ilvl="6" w:tplc="3DA07E4C">
      <w:start w:val="1"/>
      <w:numFmt w:val="bullet"/>
      <w:lvlText w:val=""/>
      <w:lvlJc w:val="left"/>
      <w:pPr>
        <w:tabs>
          <w:tab w:val="num" w:pos="5040"/>
        </w:tabs>
        <w:ind w:left="5040" w:hanging="360"/>
      </w:pPr>
      <w:rPr>
        <w:rFonts w:ascii="Symbol" w:hAnsi="Symbol" w:hint="default"/>
      </w:rPr>
    </w:lvl>
    <w:lvl w:ilvl="7" w:tplc="CDB89B58">
      <w:start w:val="1"/>
      <w:numFmt w:val="bullet"/>
      <w:lvlText w:val=""/>
      <w:lvlJc w:val="left"/>
      <w:pPr>
        <w:tabs>
          <w:tab w:val="num" w:pos="5760"/>
        </w:tabs>
        <w:ind w:left="5760" w:hanging="360"/>
      </w:pPr>
      <w:rPr>
        <w:rFonts w:ascii="Symbol" w:hAnsi="Symbol" w:hint="default"/>
      </w:rPr>
    </w:lvl>
    <w:lvl w:ilvl="8" w:tplc="F72CE418">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EF1897"/>
    <w:multiLevelType w:val="hybridMultilevel"/>
    <w:tmpl w:val="1A8CCD3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0B4B61"/>
    <w:multiLevelType w:val="hybridMultilevel"/>
    <w:tmpl w:val="39164F08"/>
    <w:lvl w:ilvl="0" w:tplc="E68E83DE">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95B55"/>
    <w:multiLevelType w:val="hybridMultilevel"/>
    <w:tmpl w:val="3CEC97CC"/>
    <w:lvl w:ilvl="0" w:tplc="D196E1E0">
      <w:start w:val="1"/>
      <w:numFmt w:val="bullet"/>
      <w:lvlText w:val=""/>
      <w:lvlJc w:val="left"/>
      <w:pPr>
        <w:tabs>
          <w:tab w:val="num" w:pos="720"/>
        </w:tabs>
        <w:ind w:left="720" w:hanging="360"/>
      </w:pPr>
      <w:rPr>
        <w:rFonts w:ascii="Symbol" w:hAnsi="Symbol" w:hint="default"/>
      </w:rPr>
    </w:lvl>
    <w:lvl w:ilvl="1" w:tplc="E9A04952">
      <w:start w:val="274"/>
      <w:numFmt w:val="bullet"/>
      <w:lvlText w:val="−"/>
      <w:lvlJc w:val="left"/>
      <w:pPr>
        <w:tabs>
          <w:tab w:val="num" w:pos="1440"/>
        </w:tabs>
        <w:ind w:left="1440" w:hanging="360"/>
      </w:pPr>
      <w:rPr>
        <w:rFonts w:ascii="Calibre Regular" w:hAnsi="Calibre Regular" w:hint="default"/>
      </w:rPr>
    </w:lvl>
    <w:lvl w:ilvl="2" w:tplc="54B04284">
      <w:start w:val="274"/>
      <w:numFmt w:val="bullet"/>
      <w:lvlText w:val="−"/>
      <w:lvlJc w:val="left"/>
      <w:pPr>
        <w:tabs>
          <w:tab w:val="num" w:pos="2160"/>
        </w:tabs>
        <w:ind w:left="2160" w:hanging="360"/>
      </w:pPr>
      <w:rPr>
        <w:rFonts w:ascii="Calibre Regular" w:hAnsi="Calibre Regular" w:hint="default"/>
      </w:rPr>
    </w:lvl>
    <w:lvl w:ilvl="3" w:tplc="3C087472">
      <w:start w:val="274"/>
      <w:numFmt w:val="bullet"/>
      <w:lvlText w:val="−"/>
      <w:lvlJc w:val="left"/>
      <w:pPr>
        <w:tabs>
          <w:tab w:val="num" w:pos="2880"/>
        </w:tabs>
        <w:ind w:left="2880" w:hanging="360"/>
      </w:pPr>
      <w:rPr>
        <w:rFonts w:ascii="Calibre Regular" w:hAnsi="Calibre Regular" w:hint="default"/>
      </w:rPr>
    </w:lvl>
    <w:lvl w:ilvl="4" w:tplc="99BEB3D0" w:tentative="1">
      <w:start w:val="1"/>
      <w:numFmt w:val="bullet"/>
      <w:lvlText w:val=""/>
      <w:lvlJc w:val="left"/>
      <w:pPr>
        <w:tabs>
          <w:tab w:val="num" w:pos="3600"/>
        </w:tabs>
        <w:ind w:left="3600" w:hanging="360"/>
      </w:pPr>
      <w:rPr>
        <w:rFonts w:ascii="Symbol" w:hAnsi="Symbol" w:hint="default"/>
      </w:rPr>
    </w:lvl>
    <w:lvl w:ilvl="5" w:tplc="BCB63CAE" w:tentative="1">
      <w:start w:val="1"/>
      <w:numFmt w:val="bullet"/>
      <w:lvlText w:val=""/>
      <w:lvlJc w:val="left"/>
      <w:pPr>
        <w:tabs>
          <w:tab w:val="num" w:pos="4320"/>
        </w:tabs>
        <w:ind w:left="4320" w:hanging="360"/>
      </w:pPr>
      <w:rPr>
        <w:rFonts w:ascii="Symbol" w:hAnsi="Symbol" w:hint="default"/>
      </w:rPr>
    </w:lvl>
    <w:lvl w:ilvl="6" w:tplc="3A8C7B94" w:tentative="1">
      <w:start w:val="1"/>
      <w:numFmt w:val="bullet"/>
      <w:lvlText w:val=""/>
      <w:lvlJc w:val="left"/>
      <w:pPr>
        <w:tabs>
          <w:tab w:val="num" w:pos="5040"/>
        </w:tabs>
        <w:ind w:left="5040" w:hanging="360"/>
      </w:pPr>
      <w:rPr>
        <w:rFonts w:ascii="Symbol" w:hAnsi="Symbol" w:hint="default"/>
      </w:rPr>
    </w:lvl>
    <w:lvl w:ilvl="7" w:tplc="4C0E446E" w:tentative="1">
      <w:start w:val="1"/>
      <w:numFmt w:val="bullet"/>
      <w:lvlText w:val=""/>
      <w:lvlJc w:val="left"/>
      <w:pPr>
        <w:tabs>
          <w:tab w:val="num" w:pos="5760"/>
        </w:tabs>
        <w:ind w:left="5760" w:hanging="360"/>
      </w:pPr>
      <w:rPr>
        <w:rFonts w:ascii="Symbol" w:hAnsi="Symbol" w:hint="default"/>
      </w:rPr>
    </w:lvl>
    <w:lvl w:ilvl="8" w:tplc="91C018E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DAC0788"/>
    <w:multiLevelType w:val="hybridMultilevel"/>
    <w:tmpl w:val="342CDF12"/>
    <w:lvl w:ilvl="0" w:tplc="519C36A2">
      <w:start w:val="1"/>
      <w:numFmt w:val="bullet"/>
      <w:lvlText w:val=""/>
      <w:lvlJc w:val="left"/>
      <w:pPr>
        <w:tabs>
          <w:tab w:val="num" w:pos="720"/>
        </w:tabs>
        <w:ind w:left="720" w:hanging="360"/>
      </w:pPr>
      <w:rPr>
        <w:rFonts w:ascii="Symbol" w:hAnsi="Symbol" w:hint="default"/>
      </w:rPr>
    </w:lvl>
    <w:lvl w:ilvl="1" w:tplc="4378C012">
      <w:start w:val="217"/>
      <w:numFmt w:val="bullet"/>
      <w:lvlText w:val="−"/>
      <w:lvlJc w:val="left"/>
      <w:pPr>
        <w:tabs>
          <w:tab w:val="num" w:pos="1440"/>
        </w:tabs>
        <w:ind w:left="1440" w:hanging="360"/>
      </w:pPr>
      <w:rPr>
        <w:rFonts w:ascii="Calibre Regular" w:hAnsi="Calibre Regular" w:hint="default"/>
      </w:rPr>
    </w:lvl>
    <w:lvl w:ilvl="2" w:tplc="070824B2" w:tentative="1">
      <w:start w:val="1"/>
      <w:numFmt w:val="bullet"/>
      <w:lvlText w:val=""/>
      <w:lvlJc w:val="left"/>
      <w:pPr>
        <w:tabs>
          <w:tab w:val="num" w:pos="2160"/>
        </w:tabs>
        <w:ind w:left="2160" w:hanging="360"/>
      </w:pPr>
      <w:rPr>
        <w:rFonts w:ascii="Symbol" w:hAnsi="Symbol" w:hint="default"/>
      </w:rPr>
    </w:lvl>
    <w:lvl w:ilvl="3" w:tplc="29F29D0C" w:tentative="1">
      <w:start w:val="1"/>
      <w:numFmt w:val="bullet"/>
      <w:lvlText w:val=""/>
      <w:lvlJc w:val="left"/>
      <w:pPr>
        <w:tabs>
          <w:tab w:val="num" w:pos="2880"/>
        </w:tabs>
        <w:ind w:left="2880" w:hanging="360"/>
      </w:pPr>
      <w:rPr>
        <w:rFonts w:ascii="Symbol" w:hAnsi="Symbol" w:hint="default"/>
      </w:rPr>
    </w:lvl>
    <w:lvl w:ilvl="4" w:tplc="85FA471A" w:tentative="1">
      <w:start w:val="1"/>
      <w:numFmt w:val="bullet"/>
      <w:lvlText w:val=""/>
      <w:lvlJc w:val="left"/>
      <w:pPr>
        <w:tabs>
          <w:tab w:val="num" w:pos="3600"/>
        </w:tabs>
        <w:ind w:left="3600" w:hanging="360"/>
      </w:pPr>
      <w:rPr>
        <w:rFonts w:ascii="Symbol" w:hAnsi="Symbol" w:hint="default"/>
      </w:rPr>
    </w:lvl>
    <w:lvl w:ilvl="5" w:tplc="35CC3D86" w:tentative="1">
      <w:start w:val="1"/>
      <w:numFmt w:val="bullet"/>
      <w:lvlText w:val=""/>
      <w:lvlJc w:val="left"/>
      <w:pPr>
        <w:tabs>
          <w:tab w:val="num" w:pos="4320"/>
        </w:tabs>
        <w:ind w:left="4320" w:hanging="360"/>
      </w:pPr>
      <w:rPr>
        <w:rFonts w:ascii="Symbol" w:hAnsi="Symbol" w:hint="default"/>
      </w:rPr>
    </w:lvl>
    <w:lvl w:ilvl="6" w:tplc="B244591C" w:tentative="1">
      <w:start w:val="1"/>
      <w:numFmt w:val="bullet"/>
      <w:lvlText w:val=""/>
      <w:lvlJc w:val="left"/>
      <w:pPr>
        <w:tabs>
          <w:tab w:val="num" w:pos="5040"/>
        </w:tabs>
        <w:ind w:left="5040" w:hanging="360"/>
      </w:pPr>
      <w:rPr>
        <w:rFonts w:ascii="Symbol" w:hAnsi="Symbol" w:hint="default"/>
      </w:rPr>
    </w:lvl>
    <w:lvl w:ilvl="7" w:tplc="11B812D4" w:tentative="1">
      <w:start w:val="1"/>
      <w:numFmt w:val="bullet"/>
      <w:lvlText w:val=""/>
      <w:lvlJc w:val="left"/>
      <w:pPr>
        <w:tabs>
          <w:tab w:val="num" w:pos="5760"/>
        </w:tabs>
        <w:ind w:left="5760" w:hanging="360"/>
      </w:pPr>
      <w:rPr>
        <w:rFonts w:ascii="Symbol" w:hAnsi="Symbol" w:hint="default"/>
      </w:rPr>
    </w:lvl>
    <w:lvl w:ilvl="8" w:tplc="D6063D1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1480BB1"/>
    <w:multiLevelType w:val="hybridMultilevel"/>
    <w:tmpl w:val="4AB6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22363"/>
    <w:multiLevelType w:val="hybridMultilevel"/>
    <w:tmpl w:val="AD9CD18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280B61BD"/>
    <w:multiLevelType w:val="hybridMultilevel"/>
    <w:tmpl w:val="96D4C5D6"/>
    <w:lvl w:ilvl="0" w:tplc="1A60308A">
      <w:start w:val="1"/>
      <w:numFmt w:val="bullet"/>
      <w:lvlText w:val=""/>
      <w:lvlJc w:val="left"/>
      <w:pPr>
        <w:tabs>
          <w:tab w:val="num" w:pos="720"/>
        </w:tabs>
        <w:ind w:left="72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880"/>
        </w:tabs>
        <w:ind w:left="288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5777AD"/>
    <w:multiLevelType w:val="hybridMultilevel"/>
    <w:tmpl w:val="99806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F77C7"/>
    <w:multiLevelType w:val="hybridMultilevel"/>
    <w:tmpl w:val="69684582"/>
    <w:lvl w:ilvl="0" w:tplc="E68E83DE">
      <w:start w:val="1"/>
      <w:numFmt w:val="bullet"/>
      <w:lvlText w:val=""/>
      <w:lvlJc w:val="left"/>
      <w:pPr>
        <w:ind w:left="1080" w:hanging="360"/>
      </w:pPr>
      <w:rPr>
        <w:rFonts w:ascii="Symbol" w:hAnsi="Symbol" w:hint="default"/>
        <w:sz w:val="22"/>
        <w:szCs w:val="22"/>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6C1CEF"/>
    <w:multiLevelType w:val="hybridMultilevel"/>
    <w:tmpl w:val="7FE4DAA8"/>
    <w:lvl w:ilvl="0" w:tplc="ED7EB54A">
      <w:start w:val="1"/>
      <w:numFmt w:val="bullet"/>
      <w:lvlText w:val=""/>
      <w:lvlJc w:val="left"/>
      <w:pPr>
        <w:tabs>
          <w:tab w:val="num" w:pos="720"/>
        </w:tabs>
        <w:ind w:left="720" w:hanging="360"/>
      </w:pPr>
      <w:rPr>
        <w:rFonts w:ascii="Symbol" w:hAnsi="Symbol" w:hint="default"/>
      </w:rPr>
    </w:lvl>
    <w:lvl w:ilvl="1" w:tplc="6478C0FE">
      <w:start w:val="274"/>
      <w:numFmt w:val="bullet"/>
      <w:lvlText w:val="−"/>
      <w:lvlJc w:val="left"/>
      <w:pPr>
        <w:tabs>
          <w:tab w:val="num" w:pos="1440"/>
        </w:tabs>
        <w:ind w:left="1440" w:hanging="360"/>
      </w:pPr>
      <w:rPr>
        <w:rFonts w:ascii="Calibre Regular" w:hAnsi="Calibre Regular" w:hint="default"/>
      </w:rPr>
    </w:lvl>
    <w:lvl w:ilvl="2" w:tplc="53EAA2F8">
      <w:start w:val="274"/>
      <w:numFmt w:val="bullet"/>
      <w:lvlText w:val="−"/>
      <w:lvlJc w:val="left"/>
      <w:pPr>
        <w:tabs>
          <w:tab w:val="num" w:pos="2160"/>
        </w:tabs>
        <w:ind w:left="2160" w:hanging="360"/>
      </w:pPr>
      <w:rPr>
        <w:rFonts w:ascii="Calibre Regular" w:hAnsi="Calibre Regular" w:hint="default"/>
      </w:rPr>
    </w:lvl>
    <w:lvl w:ilvl="3" w:tplc="93F6E4A6">
      <w:start w:val="274"/>
      <w:numFmt w:val="bullet"/>
      <w:lvlText w:val="−"/>
      <w:lvlJc w:val="left"/>
      <w:pPr>
        <w:tabs>
          <w:tab w:val="num" w:pos="2880"/>
        </w:tabs>
        <w:ind w:left="2880" w:hanging="360"/>
      </w:pPr>
      <w:rPr>
        <w:rFonts w:ascii="Calibre Regular" w:hAnsi="Calibre Regular" w:hint="default"/>
      </w:rPr>
    </w:lvl>
    <w:lvl w:ilvl="4" w:tplc="60668BBE" w:tentative="1">
      <w:start w:val="1"/>
      <w:numFmt w:val="bullet"/>
      <w:lvlText w:val=""/>
      <w:lvlJc w:val="left"/>
      <w:pPr>
        <w:tabs>
          <w:tab w:val="num" w:pos="3600"/>
        </w:tabs>
        <w:ind w:left="3600" w:hanging="360"/>
      </w:pPr>
      <w:rPr>
        <w:rFonts w:ascii="Symbol" w:hAnsi="Symbol" w:hint="default"/>
      </w:rPr>
    </w:lvl>
    <w:lvl w:ilvl="5" w:tplc="6036529A" w:tentative="1">
      <w:start w:val="1"/>
      <w:numFmt w:val="bullet"/>
      <w:lvlText w:val=""/>
      <w:lvlJc w:val="left"/>
      <w:pPr>
        <w:tabs>
          <w:tab w:val="num" w:pos="4320"/>
        </w:tabs>
        <w:ind w:left="4320" w:hanging="360"/>
      </w:pPr>
      <w:rPr>
        <w:rFonts w:ascii="Symbol" w:hAnsi="Symbol" w:hint="default"/>
      </w:rPr>
    </w:lvl>
    <w:lvl w:ilvl="6" w:tplc="77F0B08A" w:tentative="1">
      <w:start w:val="1"/>
      <w:numFmt w:val="bullet"/>
      <w:lvlText w:val=""/>
      <w:lvlJc w:val="left"/>
      <w:pPr>
        <w:tabs>
          <w:tab w:val="num" w:pos="5040"/>
        </w:tabs>
        <w:ind w:left="5040" w:hanging="360"/>
      </w:pPr>
      <w:rPr>
        <w:rFonts w:ascii="Symbol" w:hAnsi="Symbol" w:hint="default"/>
      </w:rPr>
    </w:lvl>
    <w:lvl w:ilvl="7" w:tplc="23BE91D0" w:tentative="1">
      <w:start w:val="1"/>
      <w:numFmt w:val="bullet"/>
      <w:lvlText w:val=""/>
      <w:lvlJc w:val="left"/>
      <w:pPr>
        <w:tabs>
          <w:tab w:val="num" w:pos="5760"/>
        </w:tabs>
        <w:ind w:left="5760" w:hanging="360"/>
      </w:pPr>
      <w:rPr>
        <w:rFonts w:ascii="Symbol" w:hAnsi="Symbol" w:hint="default"/>
      </w:rPr>
    </w:lvl>
    <w:lvl w:ilvl="8" w:tplc="85A0B4B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6D1F38"/>
    <w:multiLevelType w:val="hybridMultilevel"/>
    <w:tmpl w:val="DCBA8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B0B25"/>
    <w:multiLevelType w:val="hybridMultilevel"/>
    <w:tmpl w:val="80A26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10C3F"/>
    <w:multiLevelType w:val="multilevel"/>
    <w:tmpl w:val="47210C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67542"/>
    <w:multiLevelType w:val="hybridMultilevel"/>
    <w:tmpl w:val="6D9A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278C5"/>
    <w:multiLevelType w:val="hybridMultilevel"/>
    <w:tmpl w:val="FB22C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B5CD3"/>
    <w:multiLevelType w:val="hybridMultilevel"/>
    <w:tmpl w:val="B3D47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5E508C"/>
    <w:multiLevelType w:val="hybridMultilevel"/>
    <w:tmpl w:val="B0067F28"/>
    <w:lvl w:ilvl="0" w:tplc="94109704">
      <w:start w:val="1"/>
      <w:numFmt w:val="bullet"/>
      <w:lvlText w:val="−"/>
      <w:lvlJc w:val="left"/>
      <w:pPr>
        <w:tabs>
          <w:tab w:val="num" w:pos="720"/>
        </w:tabs>
        <w:ind w:left="720" w:hanging="360"/>
      </w:pPr>
      <w:rPr>
        <w:rFonts w:ascii="Calibre Regular" w:hAnsi="Calibre Regular" w:hint="default"/>
      </w:rPr>
    </w:lvl>
    <w:lvl w:ilvl="1" w:tplc="F1784A84">
      <w:start w:val="1"/>
      <w:numFmt w:val="bullet"/>
      <w:lvlText w:val="−"/>
      <w:lvlJc w:val="left"/>
      <w:pPr>
        <w:tabs>
          <w:tab w:val="num" w:pos="1440"/>
        </w:tabs>
        <w:ind w:left="1440" w:hanging="360"/>
      </w:pPr>
      <w:rPr>
        <w:rFonts w:ascii="Calibre Regular" w:hAnsi="Calibre Regular" w:hint="default"/>
      </w:rPr>
    </w:lvl>
    <w:lvl w:ilvl="2" w:tplc="051C6A7A" w:tentative="1">
      <w:start w:val="1"/>
      <w:numFmt w:val="bullet"/>
      <w:lvlText w:val="−"/>
      <w:lvlJc w:val="left"/>
      <w:pPr>
        <w:tabs>
          <w:tab w:val="num" w:pos="2160"/>
        </w:tabs>
        <w:ind w:left="2160" w:hanging="360"/>
      </w:pPr>
      <w:rPr>
        <w:rFonts w:ascii="Calibre Regular" w:hAnsi="Calibre Regular" w:hint="default"/>
      </w:rPr>
    </w:lvl>
    <w:lvl w:ilvl="3" w:tplc="2F3C62FE" w:tentative="1">
      <w:start w:val="1"/>
      <w:numFmt w:val="bullet"/>
      <w:lvlText w:val="−"/>
      <w:lvlJc w:val="left"/>
      <w:pPr>
        <w:tabs>
          <w:tab w:val="num" w:pos="2880"/>
        </w:tabs>
        <w:ind w:left="2880" w:hanging="360"/>
      </w:pPr>
      <w:rPr>
        <w:rFonts w:ascii="Calibre Regular" w:hAnsi="Calibre Regular" w:hint="default"/>
      </w:rPr>
    </w:lvl>
    <w:lvl w:ilvl="4" w:tplc="391E8B8C" w:tentative="1">
      <w:start w:val="1"/>
      <w:numFmt w:val="bullet"/>
      <w:lvlText w:val="−"/>
      <w:lvlJc w:val="left"/>
      <w:pPr>
        <w:tabs>
          <w:tab w:val="num" w:pos="3600"/>
        </w:tabs>
        <w:ind w:left="3600" w:hanging="360"/>
      </w:pPr>
      <w:rPr>
        <w:rFonts w:ascii="Calibre Regular" w:hAnsi="Calibre Regular" w:hint="default"/>
      </w:rPr>
    </w:lvl>
    <w:lvl w:ilvl="5" w:tplc="1B8A0166" w:tentative="1">
      <w:start w:val="1"/>
      <w:numFmt w:val="bullet"/>
      <w:lvlText w:val="−"/>
      <w:lvlJc w:val="left"/>
      <w:pPr>
        <w:tabs>
          <w:tab w:val="num" w:pos="4320"/>
        </w:tabs>
        <w:ind w:left="4320" w:hanging="360"/>
      </w:pPr>
      <w:rPr>
        <w:rFonts w:ascii="Calibre Regular" w:hAnsi="Calibre Regular" w:hint="default"/>
      </w:rPr>
    </w:lvl>
    <w:lvl w:ilvl="6" w:tplc="178827C0" w:tentative="1">
      <w:start w:val="1"/>
      <w:numFmt w:val="bullet"/>
      <w:lvlText w:val="−"/>
      <w:lvlJc w:val="left"/>
      <w:pPr>
        <w:tabs>
          <w:tab w:val="num" w:pos="5040"/>
        </w:tabs>
        <w:ind w:left="5040" w:hanging="360"/>
      </w:pPr>
      <w:rPr>
        <w:rFonts w:ascii="Calibre Regular" w:hAnsi="Calibre Regular" w:hint="default"/>
      </w:rPr>
    </w:lvl>
    <w:lvl w:ilvl="7" w:tplc="4B58EC50" w:tentative="1">
      <w:start w:val="1"/>
      <w:numFmt w:val="bullet"/>
      <w:lvlText w:val="−"/>
      <w:lvlJc w:val="left"/>
      <w:pPr>
        <w:tabs>
          <w:tab w:val="num" w:pos="5760"/>
        </w:tabs>
        <w:ind w:left="5760" w:hanging="360"/>
      </w:pPr>
      <w:rPr>
        <w:rFonts w:ascii="Calibre Regular" w:hAnsi="Calibre Regular" w:hint="default"/>
      </w:rPr>
    </w:lvl>
    <w:lvl w:ilvl="8" w:tplc="67E08784"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57CD2006"/>
    <w:multiLevelType w:val="hybridMultilevel"/>
    <w:tmpl w:val="620839DC"/>
    <w:lvl w:ilvl="0" w:tplc="005288C2">
      <w:start w:val="1"/>
      <w:numFmt w:val="bullet"/>
      <w:lvlText w:val=""/>
      <w:lvlJc w:val="left"/>
      <w:pPr>
        <w:tabs>
          <w:tab w:val="num" w:pos="720"/>
        </w:tabs>
        <w:ind w:left="720" w:hanging="360"/>
      </w:pPr>
      <w:rPr>
        <w:rFonts w:ascii="Symbol" w:hAnsi="Symbol" w:hint="default"/>
      </w:rPr>
    </w:lvl>
    <w:lvl w:ilvl="1" w:tplc="1E5AAD06" w:tentative="1">
      <w:start w:val="1"/>
      <w:numFmt w:val="bullet"/>
      <w:lvlText w:val=""/>
      <w:lvlJc w:val="left"/>
      <w:pPr>
        <w:tabs>
          <w:tab w:val="num" w:pos="1440"/>
        </w:tabs>
        <w:ind w:left="1440" w:hanging="360"/>
      </w:pPr>
      <w:rPr>
        <w:rFonts w:ascii="Symbol" w:hAnsi="Symbol" w:hint="default"/>
      </w:rPr>
    </w:lvl>
    <w:lvl w:ilvl="2" w:tplc="68A4F4B4" w:tentative="1">
      <w:start w:val="1"/>
      <w:numFmt w:val="bullet"/>
      <w:lvlText w:val=""/>
      <w:lvlJc w:val="left"/>
      <w:pPr>
        <w:tabs>
          <w:tab w:val="num" w:pos="2160"/>
        </w:tabs>
        <w:ind w:left="2160" w:hanging="360"/>
      </w:pPr>
      <w:rPr>
        <w:rFonts w:ascii="Symbol" w:hAnsi="Symbol" w:hint="default"/>
      </w:rPr>
    </w:lvl>
    <w:lvl w:ilvl="3" w:tplc="3A2ADB46" w:tentative="1">
      <w:start w:val="1"/>
      <w:numFmt w:val="bullet"/>
      <w:lvlText w:val=""/>
      <w:lvlJc w:val="left"/>
      <w:pPr>
        <w:tabs>
          <w:tab w:val="num" w:pos="2880"/>
        </w:tabs>
        <w:ind w:left="2880" w:hanging="360"/>
      </w:pPr>
      <w:rPr>
        <w:rFonts w:ascii="Symbol" w:hAnsi="Symbol" w:hint="default"/>
      </w:rPr>
    </w:lvl>
    <w:lvl w:ilvl="4" w:tplc="C616C5BE" w:tentative="1">
      <w:start w:val="1"/>
      <w:numFmt w:val="bullet"/>
      <w:lvlText w:val=""/>
      <w:lvlJc w:val="left"/>
      <w:pPr>
        <w:tabs>
          <w:tab w:val="num" w:pos="3600"/>
        </w:tabs>
        <w:ind w:left="3600" w:hanging="360"/>
      </w:pPr>
      <w:rPr>
        <w:rFonts w:ascii="Symbol" w:hAnsi="Symbol" w:hint="default"/>
      </w:rPr>
    </w:lvl>
    <w:lvl w:ilvl="5" w:tplc="B5306D06" w:tentative="1">
      <w:start w:val="1"/>
      <w:numFmt w:val="bullet"/>
      <w:lvlText w:val=""/>
      <w:lvlJc w:val="left"/>
      <w:pPr>
        <w:tabs>
          <w:tab w:val="num" w:pos="4320"/>
        </w:tabs>
        <w:ind w:left="4320" w:hanging="360"/>
      </w:pPr>
      <w:rPr>
        <w:rFonts w:ascii="Symbol" w:hAnsi="Symbol" w:hint="default"/>
      </w:rPr>
    </w:lvl>
    <w:lvl w:ilvl="6" w:tplc="1F6853F8" w:tentative="1">
      <w:start w:val="1"/>
      <w:numFmt w:val="bullet"/>
      <w:lvlText w:val=""/>
      <w:lvlJc w:val="left"/>
      <w:pPr>
        <w:tabs>
          <w:tab w:val="num" w:pos="5040"/>
        </w:tabs>
        <w:ind w:left="5040" w:hanging="360"/>
      </w:pPr>
      <w:rPr>
        <w:rFonts w:ascii="Symbol" w:hAnsi="Symbol" w:hint="default"/>
      </w:rPr>
    </w:lvl>
    <w:lvl w:ilvl="7" w:tplc="AE92AD10" w:tentative="1">
      <w:start w:val="1"/>
      <w:numFmt w:val="bullet"/>
      <w:lvlText w:val=""/>
      <w:lvlJc w:val="left"/>
      <w:pPr>
        <w:tabs>
          <w:tab w:val="num" w:pos="5760"/>
        </w:tabs>
        <w:ind w:left="5760" w:hanging="360"/>
      </w:pPr>
      <w:rPr>
        <w:rFonts w:ascii="Symbol" w:hAnsi="Symbol" w:hint="default"/>
      </w:rPr>
    </w:lvl>
    <w:lvl w:ilvl="8" w:tplc="ECDC54F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2" w15:restartNumberingAfterBreak="0">
    <w:nsid w:val="65B47FE9"/>
    <w:multiLevelType w:val="hybridMultilevel"/>
    <w:tmpl w:val="B560B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A3093"/>
    <w:multiLevelType w:val="hybridMultilevel"/>
    <w:tmpl w:val="8A8A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D6270"/>
    <w:multiLevelType w:val="hybridMultilevel"/>
    <w:tmpl w:val="416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C590A"/>
    <w:multiLevelType w:val="hybridMultilevel"/>
    <w:tmpl w:val="2D765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9C76B4"/>
    <w:multiLevelType w:val="hybridMultilevel"/>
    <w:tmpl w:val="67BADEA0"/>
    <w:lvl w:ilvl="0" w:tplc="253E3F8A">
      <w:start w:val="1"/>
      <w:numFmt w:val="bullet"/>
      <w:lvlText w:val=""/>
      <w:lvlJc w:val="left"/>
      <w:pPr>
        <w:tabs>
          <w:tab w:val="num" w:pos="720"/>
        </w:tabs>
        <w:ind w:left="720" w:hanging="360"/>
      </w:pPr>
      <w:rPr>
        <w:rFonts w:ascii="Symbol" w:hAnsi="Symbol" w:hint="default"/>
      </w:rPr>
    </w:lvl>
    <w:lvl w:ilvl="1" w:tplc="023C0F38" w:tentative="1">
      <w:start w:val="1"/>
      <w:numFmt w:val="bullet"/>
      <w:lvlText w:val=""/>
      <w:lvlJc w:val="left"/>
      <w:pPr>
        <w:tabs>
          <w:tab w:val="num" w:pos="1440"/>
        </w:tabs>
        <w:ind w:left="1440" w:hanging="360"/>
      </w:pPr>
      <w:rPr>
        <w:rFonts w:ascii="Symbol" w:hAnsi="Symbol" w:hint="default"/>
      </w:rPr>
    </w:lvl>
    <w:lvl w:ilvl="2" w:tplc="2248A8D0" w:tentative="1">
      <w:start w:val="1"/>
      <w:numFmt w:val="bullet"/>
      <w:lvlText w:val=""/>
      <w:lvlJc w:val="left"/>
      <w:pPr>
        <w:tabs>
          <w:tab w:val="num" w:pos="2160"/>
        </w:tabs>
        <w:ind w:left="2160" w:hanging="360"/>
      </w:pPr>
      <w:rPr>
        <w:rFonts w:ascii="Symbol" w:hAnsi="Symbol" w:hint="default"/>
      </w:rPr>
    </w:lvl>
    <w:lvl w:ilvl="3" w:tplc="DF80D25A" w:tentative="1">
      <w:start w:val="1"/>
      <w:numFmt w:val="bullet"/>
      <w:lvlText w:val=""/>
      <w:lvlJc w:val="left"/>
      <w:pPr>
        <w:tabs>
          <w:tab w:val="num" w:pos="2880"/>
        </w:tabs>
        <w:ind w:left="2880" w:hanging="360"/>
      </w:pPr>
      <w:rPr>
        <w:rFonts w:ascii="Symbol" w:hAnsi="Symbol" w:hint="default"/>
      </w:rPr>
    </w:lvl>
    <w:lvl w:ilvl="4" w:tplc="80163E50" w:tentative="1">
      <w:start w:val="1"/>
      <w:numFmt w:val="bullet"/>
      <w:lvlText w:val=""/>
      <w:lvlJc w:val="left"/>
      <w:pPr>
        <w:tabs>
          <w:tab w:val="num" w:pos="3600"/>
        </w:tabs>
        <w:ind w:left="3600" w:hanging="360"/>
      </w:pPr>
      <w:rPr>
        <w:rFonts w:ascii="Symbol" w:hAnsi="Symbol" w:hint="default"/>
      </w:rPr>
    </w:lvl>
    <w:lvl w:ilvl="5" w:tplc="FEBADE2A" w:tentative="1">
      <w:start w:val="1"/>
      <w:numFmt w:val="bullet"/>
      <w:lvlText w:val=""/>
      <w:lvlJc w:val="left"/>
      <w:pPr>
        <w:tabs>
          <w:tab w:val="num" w:pos="4320"/>
        </w:tabs>
        <w:ind w:left="4320" w:hanging="360"/>
      </w:pPr>
      <w:rPr>
        <w:rFonts w:ascii="Symbol" w:hAnsi="Symbol" w:hint="default"/>
      </w:rPr>
    </w:lvl>
    <w:lvl w:ilvl="6" w:tplc="80BC1660" w:tentative="1">
      <w:start w:val="1"/>
      <w:numFmt w:val="bullet"/>
      <w:lvlText w:val=""/>
      <w:lvlJc w:val="left"/>
      <w:pPr>
        <w:tabs>
          <w:tab w:val="num" w:pos="5040"/>
        </w:tabs>
        <w:ind w:left="5040" w:hanging="360"/>
      </w:pPr>
      <w:rPr>
        <w:rFonts w:ascii="Symbol" w:hAnsi="Symbol" w:hint="default"/>
      </w:rPr>
    </w:lvl>
    <w:lvl w:ilvl="7" w:tplc="C1BCFA74" w:tentative="1">
      <w:start w:val="1"/>
      <w:numFmt w:val="bullet"/>
      <w:lvlText w:val=""/>
      <w:lvlJc w:val="left"/>
      <w:pPr>
        <w:tabs>
          <w:tab w:val="num" w:pos="5760"/>
        </w:tabs>
        <w:ind w:left="5760" w:hanging="360"/>
      </w:pPr>
      <w:rPr>
        <w:rFonts w:ascii="Symbol" w:hAnsi="Symbol" w:hint="default"/>
      </w:rPr>
    </w:lvl>
    <w:lvl w:ilvl="8" w:tplc="BE6A83A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CD3B6A"/>
    <w:multiLevelType w:val="hybridMultilevel"/>
    <w:tmpl w:val="0928B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A3C5A"/>
    <w:multiLevelType w:val="multilevel"/>
    <w:tmpl w:val="782A3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7190"/>
    <w:multiLevelType w:val="hybridMultilevel"/>
    <w:tmpl w:val="FD2E7F04"/>
    <w:lvl w:ilvl="0" w:tplc="04090003">
      <w:start w:val="1"/>
      <w:numFmt w:val="bullet"/>
      <w:lvlText w:val="o"/>
      <w:lvlJc w:val="left"/>
      <w:pPr>
        <w:ind w:left="2376" w:hanging="360"/>
      </w:pPr>
      <w:rPr>
        <w:rFonts w:ascii="Courier New" w:hAnsi="Courier New" w:cs="Courier New" w:hint="default"/>
      </w:rPr>
    </w:lvl>
    <w:lvl w:ilvl="1" w:tplc="04090003">
      <w:start w:val="1"/>
      <w:numFmt w:val="bullet"/>
      <w:lvlText w:val="o"/>
      <w:lvlJc w:val="left"/>
      <w:pPr>
        <w:ind w:left="3096" w:hanging="360"/>
      </w:pPr>
      <w:rPr>
        <w:rFonts w:ascii="Courier New" w:hAnsi="Courier New" w:cs="Courier New" w:hint="default"/>
      </w:rPr>
    </w:lvl>
    <w:lvl w:ilvl="2" w:tplc="04090005">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43" w15:restartNumberingAfterBreak="0">
    <w:nsid w:val="795E5FB0"/>
    <w:multiLevelType w:val="hybridMultilevel"/>
    <w:tmpl w:val="641C0CA2"/>
    <w:lvl w:ilvl="0" w:tplc="138884D0">
      <w:start w:val="1"/>
      <w:numFmt w:val="bullet"/>
      <w:lvlText w:val=""/>
      <w:lvlJc w:val="left"/>
      <w:pPr>
        <w:tabs>
          <w:tab w:val="num" w:pos="720"/>
        </w:tabs>
        <w:ind w:left="720" w:hanging="360"/>
      </w:pPr>
      <w:rPr>
        <w:rFonts w:ascii="Symbol" w:hAnsi="Symbol" w:hint="default"/>
      </w:rPr>
    </w:lvl>
    <w:lvl w:ilvl="1" w:tplc="C584F61C" w:tentative="1">
      <w:start w:val="1"/>
      <w:numFmt w:val="bullet"/>
      <w:lvlText w:val=""/>
      <w:lvlJc w:val="left"/>
      <w:pPr>
        <w:tabs>
          <w:tab w:val="num" w:pos="1440"/>
        </w:tabs>
        <w:ind w:left="1440" w:hanging="360"/>
      </w:pPr>
      <w:rPr>
        <w:rFonts w:ascii="Symbol" w:hAnsi="Symbol" w:hint="default"/>
      </w:rPr>
    </w:lvl>
    <w:lvl w:ilvl="2" w:tplc="3704E534" w:tentative="1">
      <w:start w:val="1"/>
      <w:numFmt w:val="bullet"/>
      <w:lvlText w:val=""/>
      <w:lvlJc w:val="left"/>
      <w:pPr>
        <w:tabs>
          <w:tab w:val="num" w:pos="2160"/>
        </w:tabs>
        <w:ind w:left="2160" w:hanging="360"/>
      </w:pPr>
      <w:rPr>
        <w:rFonts w:ascii="Symbol" w:hAnsi="Symbol" w:hint="default"/>
      </w:rPr>
    </w:lvl>
    <w:lvl w:ilvl="3" w:tplc="8C26FABA" w:tentative="1">
      <w:start w:val="1"/>
      <w:numFmt w:val="bullet"/>
      <w:lvlText w:val=""/>
      <w:lvlJc w:val="left"/>
      <w:pPr>
        <w:tabs>
          <w:tab w:val="num" w:pos="2880"/>
        </w:tabs>
        <w:ind w:left="2880" w:hanging="360"/>
      </w:pPr>
      <w:rPr>
        <w:rFonts w:ascii="Symbol" w:hAnsi="Symbol" w:hint="default"/>
      </w:rPr>
    </w:lvl>
    <w:lvl w:ilvl="4" w:tplc="5C383AC2" w:tentative="1">
      <w:start w:val="1"/>
      <w:numFmt w:val="bullet"/>
      <w:lvlText w:val=""/>
      <w:lvlJc w:val="left"/>
      <w:pPr>
        <w:tabs>
          <w:tab w:val="num" w:pos="3600"/>
        </w:tabs>
        <w:ind w:left="3600" w:hanging="360"/>
      </w:pPr>
      <w:rPr>
        <w:rFonts w:ascii="Symbol" w:hAnsi="Symbol" w:hint="default"/>
      </w:rPr>
    </w:lvl>
    <w:lvl w:ilvl="5" w:tplc="8D7AED5C" w:tentative="1">
      <w:start w:val="1"/>
      <w:numFmt w:val="bullet"/>
      <w:lvlText w:val=""/>
      <w:lvlJc w:val="left"/>
      <w:pPr>
        <w:tabs>
          <w:tab w:val="num" w:pos="4320"/>
        </w:tabs>
        <w:ind w:left="4320" w:hanging="360"/>
      </w:pPr>
      <w:rPr>
        <w:rFonts w:ascii="Symbol" w:hAnsi="Symbol" w:hint="default"/>
      </w:rPr>
    </w:lvl>
    <w:lvl w:ilvl="6" w:tplc="98403C6C" w:tentative="1">
      <w:start w:val="1"/>
      <w:numFmt w:val="bullet"/>
      <w:lvlText w:val=""/>
      <w:lvlJc w:val="left"/>
      <w:pPr>
        <w:tabs>
          <w:tab w:val="num" w:pos="5040"/>
        </w:tabs>
        <w:ind w:left="5040" w:hanging="360"/>
      </w:pPr>
      <w:rPr>
        <w:rFonts w:ascii="Symbol" w:hAnsi="Symbol" w:hint="default"/>
      </w:rPr>
    </w:lvl>
    <w:lvl w:ilvl="7" w:tplc="7A548C4E" w:tentative="1">
      <w:start w:val="1"/>
      <w:numFmt w:val="bullet"/>
      <w:lvlText w:val=""/>
      <w:lvlJc w:val="left"/>
      <w:pPr>
        <w:tabs>
          <w:tab w:val="num" w:pos="5760"/>
        </w:tabs>
        <w:ind w:left="5760" w:hanging="360"/>
      </w:pPr>
      <w:rPr>
        <w:rFonts w:ascii="Symbol" w:hAnsi="Symbol" w:hint="default"/>
      </w:rPr>
    </w:lvl>
    <w:lvl w:ilvl="8" w:tplc="FF82A22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20"/>
    <w:lvlOverride w:ilvl="0">
      <w:startOverride w:val="1"/>
    </w:lvlOverride>
  </w:num>
  <w:num w:numId="4">
    <w:abstractNumId w:val="45"/>
  </w:num>
  <w:num w:numId="5">
    <w:abstractNumId w:val="44"/>
  </w:num>
  <w:num w:numId="6">
    <w:abstractNumId w:val="17"/>
  </w:num>
  <w:num w:numId="7">
    <w:abstractNumId w:val="6"/>
  </w:num>
  <w:num w:numId="8">
    <w:abstractNumId w:val="31"/>
  </w:num>
  <w:num w:numId="9">
    <w:abstractNumId w:val="25"/>
  </w:num>
  <w:num w:numId="10">
    <w:abstractNumId w:val="39"/>
  </w:num>
  <w:num w:numId="11">
    <w:abstractNumId w:val="40"/>
  </w:num>
  <w:num w:numId="12">
    <w:abstractNumId w:val="9"/>
  </w:num>
  <w:num w:numId="13">
    <w:abstractNumId w:val="43"/>
  </w:num>
  <w:num w:numId="14">
    <w:abstractNumId w:val="19"/>
  </w:num>
  <w:num w:numId="15">
    <w:abstractNumId w:val="29"/>
  </w:num>
  <w:num w:numId="16">
    <w:abstractNumId w:val="30"/>
  </w:num>
  <w:num w:numId="17">
    <w:abstractNumId w:val="38"/>
  </w:num>
  <w:num w:numId="18">
    <w:abstractNumId w:val="21"/>
  </w:num>
  <w:num w:numId="19">
    <w:abstractNumId w:val="14"/>
  </w:num>
  <w:num w:numId="20">
    <w:abstractNumId w:val="32"/>
  </w:num>
  <w:num w:numId="21">
    <w:abstractNumId w:val="33"/>
  </w:num>
  <w:num w:numId="22">
    <w:abstractNumId w:val="34"/>
  </w:num>
  <w:num w:numId="23">
    <w:abstractNumId w:val="5"/>
  </w:num>
  <w:num w:numId="24">
    <w:abstractNumId w:val="11"/>
  </w:num>
  <w:num w:numId="25">
    <w:abstractNumId w:val="13"/>
  </w:num>
  <w:num w:numId="26">
    <w:abstractNumId w:val="26"/>
  </w:num>
  <w:num w:numId="27">
    <w:abstractNumId w:val="4"/>
  </w:num>
  <w:num w:numId="28">
    <w:abstractNumId w:val="7"/>
  </w:num>
  <w:num w:numId="29">
    <w:abstractNumId w:val="35"/>
  </w:num>
  <w:num w:numId="30">
    <w:abstractNumId w:val="22"/>
  </w:num>
  <w:num w:numId="31">
    <w:abstractNumId w:val="42"/>
  </w:num>
  <w:num w:numId="32">
    <w:abstractNumId w:val="18"/>
  </w:num>
  <w:num w:numId="33">
    <w:abstractNumId w:val="16"/>
  </w:num>
  <w:num w:numId="34">
    <w:abstractNumId w:val="8"/>
  </w:num>
  <w:num w:numId="35">
    <w:abstractNumId w:val="12"/>
  </w:num>
  <w:num w:numId="36">
    <w:abstractNumId w:val="10"/>
  </w:num>
  <w:num w:numId="37">
    <w:abstractNumId w:val="36"/>
  </w:num>
  <w:num w:numId="38">
    <w:abstractNumId w:val="37"/>
  </w:num>
  <w:num w:numId="39">
    <w:abstractNumId w:val="3"/>
  </w:num>
  <w:num w:numId="40">
    <w:abstractNumId w:val="24"/>
  </w:num>
  <w:num w:numId="41">
    <w:abstractNumId w:val="27"/>
  </w:num>
  <w:num w:numId="42">
    <w:abstractNumId w:val="41"/>
  </w:num>
  <w:num w:numId="43">
    <w:abstractNumId w:val="2"/>
  </w:num>
  <w:num w:numId="44">
    <w:abstractNumId w:val="28"/>
  </w:num>
  <w:num w:numId="4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237"/>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44E"/>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AE2"/>
    <w:rsid w:val="00021C67"/>
    <w:rsid w:val="00021DEC"/>
    <w:rsid w:val="000221EB"/>
    <w:rsid w:val="0002226E"/>
    <w:rsid w:val="000222F7"/>
    <w:rsid w:val="00023303"/>
    <w:rsid w:val="0002339B"/>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262"/>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4DCD"/>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40"/>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2C2"/>
    <w:rsid w:val="0007077B"/>
    <w:rsid w:val="00070FD1"/>
    <w:rsid w:val="0007118F"/>
    <w:rsid w:val="00071223"/>
    <w:rsid w:val="0007162A"/>
    <w:rsid w:val="0007165A"/>
    <w:rsid w:val="000716FB"/>
    <w:rsid w:val="00071AB0"/>
    <w:rsid w:val="00072E75"/>
    <w:rsid w:val="00072EFA"/>
    <w:rsid w:val="00072FF7"/>
    <w:rsid w:val="0007337F"/>
    <w:rsid w:val="00073785"/>
    <w:rsid w:val="00073974"/>
    <w:rsid w:val="00073D75"/>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21"/>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890"/>
    <w:rsid w:val="00084D3C"/>
    <w:rsid w:val="00084F24"/>
    <w:rsid w:val="00084FCD"/>
    <w:rsid w:val="000850B1"/>
    <w:rsid w:val="00085239"/>
    <w:rsid w:val="00085DA3"/>
    <w:rsid w:val="00085F08"/>
    <w:rsid w:val="000862BA"/>
    <w:rsid w:val="000862F6"/>
    <w:rsid w:val="00086849"/>
    <w:rsid w:val="00086B50"/>
    <w:rsid w:val="00086C4D"/>
    <w:rsid w:val="00087350"/>
    <w:rsid w:val="0008746C"/>
    <w:rsid w:val="0008760B"/>
    <w:rsid w:val="0008782D"/>
    <w:rsid w:val="00087965"/>
    <w:rsid w:val="00087E29"/>
    <w:rsid w:val="0009037D"/>
    <w:rsid w:val="00090394"/>
    <w:rsid w:val="00090573"/>
    <w:rsid w:val="00091114"/>
    <w:rsid w:val="00091C98"/>
    <w:rsid w:val="000921E3"/>
    <w:rsid w:val="000927AD"/>
    <w:rsid w:val="00092A3D"/>
    <w:rsid w:val="000931C3"/>
    <w:rsid w:val="00093566"/>
    <w:rsid w:val="00093F75"/>
    <w:rsid w:val="000941ED"/>
    <w:rsid w:val="0009437A"/>
    <w:rsid w:val="0009472B"/>
    <w:rsid w:val="000947B7"/>
    <w:rsid w:val="00094E1A"/>
    <w:rsid w:val="0009512D"/>
    <w:rsid w:val="000954C6"/>
    <w:rsid w:val="00095671"/>
    <w:rsid w:val="000956BC"/>
    <w:rsid w:val="000957FF"/>
    <w:rsid w:val="00095920"/>
    <w:rsid w:val="00095BBF"/>
    <w:rsid w:val="00095DD5"/>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A8"/>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5FD"/>
    <w:rsid w:val="000B275F"/>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CFB"/>
    <w:rsid w:val="000C2DE1"/>
    <w:rsid w:val="000C2E7E"/>
    <w:rsid w:val="000C37CA"/>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28"/>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49A"/>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005"/>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55F"/>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672"/>
    <w:rsid w:val="00130714"/>
    <w:rsid w:val="00130790"/>
    <w:rsid w:val="00130953"/>
    <w:rsid w:val="00130BBD"/>
    <w:rsid w:val="00130D59"/>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81"/>
    <w:rsid w:val="00134CAD"/>
    <w:rsid w:val="00135015"/>
    <w:rsid w:val="00135095"/>
    <w:rsid w:val="00135517"/>
    <w:rsid w:val="00135829"/>
    <w:rsid w:val="00135884"/>
    <w:rsid w:val="001358A7"/>
    <w:rsid w:val="001358C7"/>
    <w:rsid w:val="001358F4"/>
    <w:rsid w:val="00135D68"/>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BDD"/>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A"/>
    <w:rsid w:val="0018016C"/>
    <w:rsid w:val="001806A9"/>
    <w:rsid w:val="00180860"/>
    <w:rsid w:val="0018087F"/>
    <w:rsid w:val="00180ADC"/>
    <w:rsid w:val="00180D96"/>
    <w:rsid w:val="00180DEF"/>
    <w:rsid w:val="00180E60"/>
    <w:rsid w:val="001817BA"/>
    <w:rsid w:val="00181B3A"/>
    <w:rsid w:val="001820B2"/>
    <w:rsid w:val="001821E9"/>
    <w:rsid w:val="0018246F"/>
    <w:rsid w:val="00182718"/>
    <w:rsid w:val="00182FBF"/>
    <w:rsid w:val="00183666"/>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5C24"/>
    <w:rsid w:val="00196085"/>
    <w:rsid w:val="00196700"/>
    <w:rsid w:val="00196B5C"/>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2C3"/>
    <w:rsid w:val="001B35C1"/>
    <w:rsid w:val="001B3754"/>
    <w:rsid w:val="001B3A10"/>
    <w:rsid w:val="001B419D"/>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8F"/>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38B"/>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58B"/>
    <w:rsid w:val="0020087C"/>
    <w:rsid w:val="00200890"/>
    <w:rsid w:val="00200A92"/>
    <w:rsid w:val="00200BF9"/>
    <w:rsid w:val="0020142D"/>
    <w:rsid w:val="00201488"/>
    <w:rsid w:val="002016C0"/>
    <w:rsid w:val="00201995"/>
    <w:rsid w:val="00201A5F"/>
    <w:rsid w:val="00201DEC"/>
    <w:rsid w:val="002024E6"/>
    <w:rsid w:val="00202A73"/>
    <w:rsid w:val="00202D2E"/>
    <w:rsid w:val="00202DF7"/>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94"/>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09E"/>
    <w:rsid w:val="00211345"/>
    <w:rsid w:val="002114FA"/>
    <w:rsid w:val="00211D31"/>
    <w:rsid w:val="00211DD9"/>
    <w:rsid w:val="00211F19"/>
    <w:rsid w:val="00212816"/>
    <w:rsid w:val="002130BD"/>
    <w:rsid w:val="00213851"/>
    <w:rsid w:val="00214148"/>
    <w:rsid w:val="002147DF"/>
    <w:rsid w:val="0021484C"/>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D69"/>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99D"/>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91B"/>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65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FF4"/>
    <w:rsid w:val="00283165"/>
    <w:rsid w:val="002832E7"/>
    <w:rsid w:val="00283706"/>
    <w:rsid w:val="00283BAA"/>
    <w:rsid w:val="00283C29"/>
    <w:rsid w:val="00283D92"/>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6CB"/>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592"/>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0D23"/>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49E"/>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4B0"/>
    <w:rsid w:val="002F677A"/>
    <w:rsid w:val="002F6AC6"/>
    <w:rsid w:val="002F6BDA"/>
    <w:rsid w:val="002F714F"/>
    <w:rsid w:val="002F7919"/>
    <w:rsid w:val="002F7B6D"/>
    <w:rsid w:val="002F7D48"/>
    <w:rsid w:val="002F7EC5"/>
    <w:rsid w:val="00300085"/>
    <w:rsid w:val="0030027C"/>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D3F"/>
    <w:rsid w:val="00307F28"/>
    <w:rsid w:val="003101DC"/>
    <w:rsid w:val="0031049F"/>
    <w:rsid w:val="003105CC"/>
    <w:rsid w:val="00310BE4"/>
    <w:rsid w:val="00310CC6"/>
    <w:rsid w:val="00310F30"/>
    <w:rsid w:val="00310FD2"/>
    <w:rsid w:val="00311642"/>
    <w:rsid w:val="00311761"/>
    <w:rsid w:val="0031183E"/>
    <w:rsid w:val="00311941"/>
    <w:rsid w:val="00312709"/>
    <w:rsid w:val="00312BD3"/>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2AA"/>
    <w:rsid w:val="00322630"/>
    <w:rsid w:val="00322BC3"/>
    <w:rsid w:val="00322C2B"/>
    <w:rsid w:val="00322E3B"/>
    <w:rsid w:val="00323123"/>
    <w:rsid w:val="00323438"/>
    <w:rsid w:val="00323A78"/>
    <w:rsid w:val="00323FAD"/>
    <w:rsid w:val="00324089"/>
    <w:rsid w:val="0032415B"/>
    <w:rsid w:val="0032441B"/>
    <w:rsid w:val="00324701"/>
    <w:rsid w:val="0032489D"/>
    <w:rsid w:val="003249F8"/>
    <w:rsid w:val="00324F10"/>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1D8"/>
    <w:rsid w:val="0033241A"/>
    <w:rsid w:val="00332962"/>
    <w:rsid w:val="0033451A"/>
    <w:rsid w:val="00334CE7"/>
    <w:rsid w:val="00335250"/>
    <w:rsid w:val="00335670"/>
    <w:rsid w:val="0033572D"/>
    <w:rsid w:val="0033592C"/>
    <w:rsid w:val="00335E2A"/>
    <w:rsid w:val="003365B7"/>
    <w:rsid w:val="003365FB"/>
    <w:rsid w:val="0033677C"/>
    <w:rsid w:val="00336780"/>
    <w:rsid w:val="003367C5"/>
    <w:rsid w:val="00336DAD"/>
    <w:rsid w:val="00336DB3"/>
    <w:rsid w:val="00337065"/>
    <w:rsid w:val="00337C71"/>
    <w:rsid w:val="00337E4E"/>
    <w:rsid w:val="00340CC6"/>
    <w:rsid w:val="00340E58"/>
    <w:rsid w:val="00341087"/>
    <w:rsid w:val="00341706"/>
    <w:rsid w:val="003422B1"/>
    <w:rsid w:val="0034230E"/>
    <w:rsid w:val="0034246D"/>
    <w:rsid w:val="00342B28"/>
    <w:rsid w:val="0034305B"/>
    <w:rsid w:val="0034324F"/>
    <w:rsid w:val="003433EA"/>
    <w:rsid w:val="00343A58"/>
    <w:rsid w:val="00343C24"/>
    <w:rsid w:val="00343FA6"/>
    <w:rsid w:val="00344433"/>
    <w:rsid w:val="00344725"/>
    <w:rsid w:val="00344901"/>
    <w:rsid w:val="00344A6D"/>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8A3"/>
    <w:rsid w:val="00352952"/>
    <w:rsid w:val="00352CF4"/>
    <w:rsid w:val="00352DAE"/>
    <w:rsid w:val="003530A0"/>
    <w:rsid w:val="003531B0"/>
    <w:rsid w:val="003532D2"/>
    <w:rsid w:val="003536C6"/>
    <w:rsid w:val="0035398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2F7"/>
    <w:rsid w:val="00363539"/>
    <w:rsid w:val="003635B6"/>
    <w:rsid w:val="00363AE6"/>
    <w:rsid w:val="00363C06"/>
    <w:rsid w:val="00363FC9"/>
    <w:rsid w:val="00365023"/>
    <w:rsid w:val="00365644"/>
    <w:rsid w:val="0036590C"/>
    <w:rsid w:val="00365B66"/>
    <w:rsid w:val="0036619F"/>
    <w:rsid w:val="00366428"/>
    <w:rsid w:val="003665C5"/>
    <w:rsid w:val="00366730"/>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2B0"/>
    <w:rsid w:val="003742E1"/>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1EEA"/>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2B4"/>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E0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944"/>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743"/>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B2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D7D8F"/>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252"/>
    <w:rsid w:val="003F0656"/>
    <w:rsid w:val="003F073C"/>
    <w:rsid w:val="003F0905"/>
    <w:rsid w:val="003F13A6"/>
    <w:rsid w:val="003F13D9"/>
    <w:rsid w:val="003F148D"/>
    <w:rsid w:val="003F1B6D"/>
    <w:rsid w:val="003F1C93"/>
    <w:rsid w:val="003F1E48"/>
    <w:rsid w:val="003F1FCC"/>
    <w:rsid w:val="003F1FFF"/>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F2"/>
    <w:rsid w:val="003F586D"/>
    <w:rsid w:val="003F5BC7"/>
    <w:rsid w:val="003F62B4"/>
    <w:rsid w:val="003F6526"/>
    <w:rsid w:val="003F682D"/>
    <w:rsid w:val="003F6853"/>
    <w:rsid w:val="003F6930"/>
    <w:rsid w:val="003F697D"/>
    <w:rsid w:val="003F69D2"/>
    <w:rsid w:val="003F6A55"/>
    <w:rsid w:val="003F72E7"/>
    <w:rsid w:val="003F73A0"/>
    <w:rsid w:val="003F75DD"/>
    <w:rsid w:val="003F7908"/>
    <w:rsid w:val="003F7A1F"/>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2FF9"/>
    <w:rsid w:val="00413369"/>
    <w:rsid w:val="004133CD"/>
    <w:rsid w:val="00413BB3"/>
    <w:rsid w:val="00414191"/>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D8"/>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60"/>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248"/>
    <w:rsid w:val="00465467"/>
    <w:rsid w:val="00465573"/>
    <w:rsid w:val="00465EB3"/>
    <w:rsid w:val="004665D2"/>
    <w:rsid w:val="0047041E"/>
    <w:rsid w:val="00470628"/>
    <w:rsid w:val="0047068E"/>
    <w:rsid w:val="00470750"/>
    <w:rsid w:val="00470893"/>
    <w:rsid w:val="0047166D"/>
    <w:rsid w:val="00471856"/>
    <w:rsid w:val="00471DB0"/>
    <w:rsid w:val="00471FAB"/>
    <w:rsid w:val="0047253B"/>
    <w:rsid w:val="00472ACB"/>
    <w:rsid w:val="004735E8"/>
    <w:rsid w:val="004737D3"/>
    <w:rsid w:val="00473F5F"/>
    <w:rsid w:val="00474076"/>
    <w:rsid w:val="0047410D"/>
    <w:rsid w:val="00474120"/>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B5C"/>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192"/>
    <w:rsid w:val="004877F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BB9"/>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A0F"/>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68"/>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368"/>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61"/>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7AC"/>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514"/>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6FCF"/>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4A4D"/>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43F"/>
    <w:rsid w:val="00551593"/>
    <w:rsid w:val="00551E52"/>
    <w:rsid w:val="00552038"/>
    <w:rsid w:val="0055233E"/>
    <w:rsid w:val="00552352"/>
    <w:rsid w:val="00552569"/>
    <w:rsid w:val="005528E1"/>
    <w:rsid w:val="00552E20"/>
    <w:rsid w:val="00552FF4"/>
    <w:rsid w:val="0055333D"/>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6558"/>
    <w:rsid w:val="00567083"/>
    <w:rsid w:val="005670CD"/>
    <w:rsid w:val="0056719E"/>
    <w:rsid w:val="0056740F"/>
    <w:rsid w:val="005676F8"/>
    <w:rsid w:val="00567B3B"/>
    <w:rsid w:val="00567B75"/>
    <w:rsid w:val="00567E76"/>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3EC9"/>
    <w:rsid w:val="00584024"/>
    <w:rsid w:val="00584496"/>
    <w:rsid w:val="005852AA"/>
    <w:rsid w:val="00585867"/>
    <w:rsid w:val="00585C3A"/>
    <w:rsid w:val="00586013"/>
    <w:rsid w:val="0058628A"/>
    <w:rsid w:val="005863A3"/>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952"/>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0EB"/>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285"/>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113"/>
    <w:rsid w:val="005B75B2"/>
    <w:rsid w:val="005B7824"/>
    <w:rsid w:val="005B785E"/>
    <w:rsid w:val="005B7928"/>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363"/>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1AD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BA5"/>
    <w:rsid w:val="005E6DE0"/>
    <w:rsid w:val="005E73E2"/>
    <w:rsid w:val="005E7698"/>
    <w:rsid w:val="005E7849"/>
    <w:rsid w:val="005E7A8C"/>
    <w:rsid w:val="005E7CE0"/>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98"/>
    <w:rsid w:val="005F55A6"/>
    <w:rsid w:val="005F56D0"/>
    <w:rsid w:val="005F5836"/>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FEF"/>
    <w:rsid w:val="00615178"/>
    <w:rsid w:val="0061524B"/>
    <w:rsid w:val="006153D5"/>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661"/>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F26"/>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A7C"/>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188"/>
    <w:rsid w:val="0067649C"/>
    <w:rsid w:val="006767B8"/>
    <w:rsid w:val="00676FAE"/>
    <w:rsid w:val="00677725"/>
    <w:rsid w:val="00677898"/>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0FD3"/>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775"/>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938"/>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0DA"/>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319"/>
    <w:rsid w:val="006E4646"/>
    <w:rsid w:val="006E4674"/>
    <w:rsid w:val="006E512D"/>
    <w:rsid w:val="006E5477"/>
    <w:rsid w:val="006E554E"/>
    <w:rsid w:val="006E575C"/>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0EE9"/>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2DB"/>
    <w:rsid w:val="006F557B"/>
    <w:rsid w:val="006F5674"/>
    <w:rsid w:val="006F5B41"/>
    <w:rsid w:val="006F5F6E"/>
    <w:rsid w:val="006F5F79"/>
    <w:rsid w:val="006F65FF"/>
    <w:rsid w:val="006F6689"/>
    <w:rsid w:val="006F6740"/>
    <w:rsid w:val="006F6FEA"/>
    <w:rsid w:val="006F6FFD"/>
    <w:rsid w:val="006F70E1"/>
    <w:rsid w:val="006F7127"/>
    <w:rsid w:val="006F746D"/>
    <w:rsid w:val="006F767D"/>
    <w:rsid w:val="006F7A9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2EE7"/>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19F"/>
    <w:rsid w:val="00711760"/>
    <w:rsid w:val="007118B7"/>
    <w:rsid w:val="0071196B"/>
    <w:rsid w:val="00711A0F"/>
    <w:rsid w:val="00711AE4"/>
    <w:rsid w:val="00711B2F"/>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49C"/>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265"/>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142"/>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27E"/>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CE6"/>
    <w:rsid w:val="00744E4F"/>
    <w:rsid w:val="00744F65"/>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2DE"/>
    <w:rsid w:val="007565E2"/>
    <w:rsid w:val="00756E92"/>
    <w:rsid w:val="00756F15"/>
    <w:rsid w:val="00756F24"/>
    <w:rsid w:val="007572E9"/>
    <w:rsid w:val="007575AE"/>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50"/>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75F"/>
    <w:rsid w:val="00765832"/>
    <w:rsid w:val="00765898"/>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6C5"/>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70D"/>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4E88"/>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A80"/>
    <w:rsid w:val="007B0E2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627"/>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BEE"/>
    <w:rsid w:val="007C251D"/>
    <w:rsid w:val="007C26FF"/>
    <w:rsid w:val="007C29FE"/>
    <w:rsid w:val="007C2A39"/>
    <w:rsid w:val="007C2AAF"/>
    <w:rsid w:val="007C301B"/>
    <w:rsid w:val="007C3C91"/>
    <w:rsid w:val="007C3D88"/>
    <w:rsid w:val="007C3E52"/>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63C"/>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DCB"/>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4D30"/>
    <w:rsid w:val="007F529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91A"/>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954"/>
    <w:rsid w:val="00817B8F"/>
    <w:rsid w:val="00817BA2"/>
    <w:rsid w:val="00817C96"/>
    <w:rsid w:val="00817CB0"/>
    <w:rsid w:val="00817D2A"/>
    <w:rsid w:val="00817F27"/>
    <w:rsid w:val="00820224"/>
    <w:rsid w:val="00821398"/>
    <w:rsid w:val="0082172C"/>
    <w:rsid w:val="0082194C"/>
    <w:rsid w:val="00821A22"/>
    <w:rsid w:val="00821DC0"/>
    <w:rsid w:val="00822131"/>
    <w:rsid w:val="008222A2"/>
    <w:rsid w:val="00822E13"/>
    <w:rsid w:val="00823335"/>
    <w:rsid w:val="008235E4"/>
    <w:rsid w:val="008237B2"/>
    <w:rsid w:val="00823B2A"/>
    <w:rsid w:val="00823D12"/>
    <w:rsid w:val="00823F61"/>
    <w:rsid w:val="0082449E"/>
    <w:rsid w:val="008245CE"/>
    <w:rsid w:val="008247A4"/>
    <w:rsid w:val="0082494C"/>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06B"/>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42D"/>
    <w:rsid w:val="008455F4"/>
    <w:rsid w:val="00845A92"/>
    <w:rsid w:val="00845F51"/>
    <w:rsid w:val="00846045"/>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1DA6"/>
    <w:rsid w:val="008620C2"/>
    <w:rsid w:val="00862173"/>
    <w:rsid w:val="00862290"/>
    <w:rsid w:val="00862558"/>
    <w:rsid w:val="008626B0"/>
    <w:rsid w:val="00862988"/>
    <w:rsid w:val="008629BE"/>
    <w:rsid w:val="00862A4E"/>
    <w:rsid w:val="00862BA2"/>
    <w:rsid w:val="00862C5F"/>
    <w:rsid w:val="00863096"/>
    <w:rsid w:val="00863267"/>
    <w:rsid w:val="00863479"/>
    <w:rsid w:val="0086386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1D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8A0"/>
    <w:rsid w:val="00894E76"/>
    <w:rsid w:val="00895243"/>
    <w:rsid w:val="00895A0C"/>
    <w:rsid w:val="00895AB4"/>
    <w:rsid w:val="0089608D"/>
    <w:rsid w:val="008961A5"/>
    <w:rsid w:val="008964FD"/>
    <w:rsid w:val="00896943"/>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10A"/>
    <w:rsid w:val="008A24BD"/>
    <w:rsid w:val="008A294D"/>
    <w:rsid w:val="008A29EB"/>
    <w:rsid w:val="008A2AAE"/>
    <w:rsid w:val="008A2BA4"/>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186"/>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9D9"/>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48C"/>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DA3"/>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4AD"/>
    <w:rsid w:val="008E7684"/>
    <w:rsid w:val="008E76C6"/>
    <w:rsid w:val="008E7DB3"/>
    <w:rsid w:val="008E7F9D"/>
    <w:rsid w:val="008F0090"/>
    <w:rsid w:val="008F01AB"/>
    <w:rsid w:val="008F044C"/>
    <w:rsid w:val="008F0460"/>
    <w:rsid w:val="008F06E5"/>
    <w:rsid w:val="008F0BA6"/>
    <w:rsid w:val="008F0C84"/>
    <w:rsid w:val="008F0FC8"/>
    <w:rsid w:val="008F116F"/>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D35"/>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17"/>
    <w:rsid w:val="00907862"/>
    <w:rsid w:val="0090797E"/>
    <w:rsid w:val="00907BEE"/>
    <w:rsid w:val="00910628"/>
    <w:rsid w:val="00910874"/>
    <w:rsid w:val="009108A7"/>
    <w:rsid w:val="00910FDB"/>
    <w:rsid w:val="0091181E"/>
    <w:rsid w:val="00911A5A"/>
    <w:rsid w:val="00911B21"/>
    <w:rsid w:val="00911E1A"/>
    <w:rsid w:val="0091205C"/>
    <w:rsid w:val="0091225D"/>
    <w:rsid w:val="009123B9"/>
    <w:rsid w:val="00912497"/>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046"/>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682"/>
    <w:rsid w:val="00925836"/>
    <w:rsid w:val="0092591F"/>
    <w:rsid w:val="00925B66"/>
    <w:rsid w:val="00925DD1"/>
    <w:rsid w:val="00925FA3"/>
    <w:rsid w:val="009260D2"/>
    <w:rsid w:val="009260EC"/>
    <w:rsid w:val="00926264"/>
    <w:rsid w:val="0092656D"/>
    <w:rsid w:val="00926595"/>
    <w:rsid w:val="0092698B"/>
    <w:rsid w:val="009269EB"/>
    <w:rsid w:val="00927521"/>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221"/>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069"/>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3DB8"/>
    <w:rsid w:val="0096436D"/>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8C1"/>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78"/>
    <w:rsid w:val="0099005F"/>
    <w:rsid w:val="00990557"/>
    <w:rsid w:val="00990941"/>
    <w:rsid w:val="00990E93"/>
    <w:rsid w:val="00991660"/>
    <w:rsid w:val="009917F3"/>
    <w:rsid w:val="00991EA6"/>
    <w:rsid w:val="00991F39"/>
    <w:rsid w:val="00992624"/>
    <w:rsid w:val="009927C4"/>
    <w:rsid w:val="00992DAB"/>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DAE"/>
    <w:rsid w:val="009A6EE7"/>
    <w:rsid w:val="009A7154"/>
    <w:rsid w:val="009A751E"/>
    <w:rsid w:val="009A78A4"/>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68F"/>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CE9"/>
    <w:rsid w:val="009E6FBA"/>
    <w:rsid w:val="009E6FC8"/>
    <w:rsid w:val="009E7E9B"/>
    <w:rsid w:val="009F0258"/>
    <w:rsid w:val="009F02E1"/>
    <w:rsid w:val="009F056D"/>
    <w:rsid w:val="009F07FC"/>
    <w:rsid w:val="009F0992"/>
    <w:rsid w:val="009F0CD1"/>
    <w:rsid w:val="009F1563"/>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0ECF"/>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6E9"/>
    <w:rsid w:val="00A2374F"/>
    <w:rsid w:val="00A23921"/>
    <w:rsid w:val="00A23E0D"/>
    <w:rsid w:val="00A24002"/>
    <w:rsid w:val="00A2470A"/>
    <w:rsid w:val="00A2481C"/>
    <w:rsid w:val="00A24CCF"/>
    <w:rsid w:val="00A24DDA"/>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882"/>
    <w:rsid w:val="00A44BEB"/>
    <w:rsid w:val="00A44E28"/>
    <w:rsid w:val="00A45371"/>
    <w:rsid w:val="00A4570E"/>
    <w:rsid w:val="00A45798"/>
    <w:rsid w:val="00A4579D"/>
    <w:rsid w:val="00A459CD"/>
    <w:rsid w:val="00A45A3B"/>
    <w:rsid w:val="00A45C5B"/>
    <w:rsid w:val="00A46FAD"/>
    <w:rsid w:val="00A47A00"/>
    <w:rsid w:val="00A47B47"/>
    <w:rsid w:val="00A47B4B"/>
    <w:rsid w:val="00A5044D"/>
    <w:rsid w:val="00A50B00"/>
    <w:rsid w:val="00A50D49"/>
    <w:rsid w:val="00A50FD8"/>
    <w:rsid w:val="00A511FB"/>
    <w:rsid w:val="00A514EB"/>
    <w:rsid w:val="00A516A4"/>
    <w:rsid w:val="00A51AFD"/>
    <w:rsid w:val="00A521E0"/>
    <w:rsid w:val="00A524C8"/>
    <w:rsid w:val="00A5291D"/>
    <w:rsid w:val="00A52EDB"/>
    <w:rsid w:val="00A530C2"/>
    <w:rsid w:val="00A53791"/>
    <w:rsid w:val="00A5382D"/>
    <w:rsid w:val="00A5490D"/>
    <w:rsid w:val="00A54A90"/>
    <w:rsid w:val="00A54B0B"/>
    <w:rsid w:val="00A54D16"/>
    <w:rsid w:val="00A553DF"/>
    <w:rsid w:val="00A5579B"/>
    <w:rsid w:val="00A55877"/>
    <w:rsid w:val="00A55AEE"/>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E42"/>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BF6"/>
    <w:rsid w:val="00A75DE7"/>
    <w:rsid w:val="00A7615F"/>
    <w:rsid w:val="00A7634B"/>
    <w:rsid w:val="00A764B9"/>
    <w:rsid w:val="00A76696"/>
    <w:rsid w:val="00A76A52"/>
    <w:rsid w:val="00A76BF2"/>
    <w:rsid w:val="00A76CE5"/>
    <w:rsid w:val="00A76DA8"/>
    <w:rsid w:val="00A76EA8"/>
    <w:rsid w:val="00A770A5"/>
    <w:rsid w:val="00A7735F"/>
    <w:rsid w:val="00A806D6"/>
    <w:rsid w:val="00A8135C"/>
    <w:rsid w:val="00A81633"/>
    <w:rsid w:val="00A81694"/>
    <w:rsid w:val="00A81BDA"/>
    <w:rsid w:val="00A81D27"/>
    <w:rsid w:val="00A81D9B"/>
    <w:rsid w:val="00A8216A"/>
    <w:rsid w:val="00A8221B"/>
    <w:rsid w:val="00A8226D"/>
    <w:rsid w:val="00A82322"/>
    <w:rsid w:val="00A82508"/>
    <w:rsid w:val="00A82C1E"/>
    <w:rsid w:val="00A82D84"/>
    <w:rsid w:val="00A830A7"/>
    <w:rsid w:val="00A831F0"/>
    <w:rsid w:val="00A835B2"/>
    <w:rsid w:val="00A8386C"/>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1B4"/>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7E7"/>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A10"/>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5B91"/>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97C"/>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20E"/>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2D"/>
    <w:rsid w:val="00B4314E"/>
    <w:rsid w:val="00B437BD"/>
    <w:rsid w:val="00B43985"/>
    <w:rsid w:val="00B439FA"/>
    <w:rsid w:val="00B43D4D"/>
    <w:rsid w:val="00B440CF"/>
    <w:rsid w:val="00B4418B"/>
    <w:rsid w:val="00B443C5"/>
    <w:rsid w:val="00B4485B"/>
    <w:rsid w:val="00B44B05"/>
    <w:rsid w:val="00B451F1"/>
    <w:rsid w:val="00B45369"/>
    <w:rsid w:val="00B45A39"/>
    <w:rsid w:val="00B45A61"/>
    <w:rsid w:val="00B45AC0"/>
    <w:rsid w:val="00B46501"/>
    <w:rsid w:val="00B46BCE"/>
    <w:rsid w:val="00B47784"/>
    <w:rsid w:val="00B4783F"/>
    <w:rsid w:val="00B47858"/>
    <w:rsid w:val="00B47CEF"/>
    <w:rsid w:val="00B50261"/>
    <w:rsid w:val="00B504F7"/>
    <w:rsid w:val="00B50810"/>
    <w:rsid w:val="00B50933"/>
    <w:rsid w:val="00B50BDC"/>
    <w:rsid w:val="00B50D79"/>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8A5"/>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5F7"/>
    <w:rsid w:val="00B7273B"/>
    <w:rsid w:val="00B727B8"/>
    <w:rsid w:val="00B72B43"/>
    <w:rsid w:val="00B72C70"/>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69"/>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A71"/>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493"/>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27"/>
    <w:rsid w:val="00BE6E3F"/>
    <w:rsid w:val="00BE7265"/>
    <w:rsid w:val="00BE76E2"/>
    <w:rsid w:val="00BE7A06"/>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47B"/>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1E"/>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53"/>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9E6"/>
    <w:rsid w:val="00C51D11"/>
    <w:rsid w:val="00C51D30"/>
    <w:rsid w:val="00C51F21"/>
    <w:rsid w:val="00C521CD"/>
    <w:rsid w:val="00C5257E"/>
    <w:rsid w:val="00C5285D"/>
    <w:rsid w:val="00C531B4"/>
    <w:rsid w:val="00C532F9"/>
    <w:rsid w:val="00C5370C"/>
    <w:rsid w:val="00C538F2"/>
    <w:rsid w:val="00C539B0"/>
    <w:rsid w:val="00C53E22"/>
    <w:rsid w:val="00C54076"/>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121"/>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0EC"/>
    <w:rsid w:val="00C945EC"/>
    <w:rsid w:val="00C94A45"/>
    <w:rsid w:val="00C94B58"/>
    <w:rsid w:val="00C94BBA"/>
    <w:rsid w:val="00C94DDB"/>
    <w:rsid w:val="00C94E45"/>
    <w:rsid w:val="00C95000"/>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0D"/>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488"/>
    <w:rsid w:val="00CB059A"/>
    <w:rsid w:val="00CB07F4"/>
    <w:rsid w:val="00CB09D9"/>
    <w:rsid w:val="00CB0DD3"/>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3EB7"/>
    <w:rsid w:val="00CB41E7"/>
    <w:rsid w:val="00CB480A"/>
    <w:rsid w:val="00CB4FA5"/>
    <w:rsid w:val="00CB5008"/>
    <w:rsid w:val="00CB58DD"/>
    <w:rsid w:val="00CB5F58"/>
    <w:rsid w:val="00CB6343"/>
    <w:rsid w:val="00CB6517"/>
    <w:rsid w:val="00CB6BEF"/>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D17"/>
    <w:rsid w:val="00CF02AC"/>
    <w:rsid w:val="00CF04FA"/>
    <w:rsid w:val="00CF057C"/>
    <w:rsid w:val="00CF05CE"/>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622"/>
    <w:rsid w:val="00D0675C"/>
    <w:rsid w:val="00D06800"/>
    <w:rsid w:val="00D06B22"/>
    <w:rsid w:val="00D06DED"/>
    <w:rsid w:val="00D070AD"/>
    <w:rsid w:val="00D073D0"/>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BE1"/>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483"/>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AA"/>
    <w:rsid w:val="00D93EF4"/>
    <w:rsid w:val="00D94312"/>
    <w:rsid w:val="00D94909"/>
    <w:rsid w:val="00D94BB0"/>
    <w:rsid w:val="00D94FF3"/>
    <w:rsid w:val="00D95009"/>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C18"/>
    <w:rsid w:val="00DA3F00"/>
    <w:rsid w:val="00DA419D"/>
    <w:rsid w:val="00DA43CA"/>
    <w:rsid w:val="00DA4562"/>
    <w:rsid w:val="00DA492A"/>
    <w:rsid w:val="00DA49D8"/>
    <w:rsid w:val="00DA5CA9"/>
    <w:rsid w:val="00DA5E7E"/>
    <w:rsid w:val="00DA6564"/>
    <w:rsid w:val="00DA6755"/>
    <w:rsid w:val="00DA714A"/>
    <w:rsid w:val="00DA71AF"/>
    <w:rsid w:val="00DA727D"/>
    <w:rsid w:val="00DA7A85"/>
    <w:rsid w:val="00DA7B22"/>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2CA"/>
    <w:rsid w:val="00DB34AD"/>
    <w:rsid w:val="00DB35C7"/>
    <w:rsid w:val="00DB36EA"/>
    <w:rsid w:val="00DB3719"/>
    <w:rsid w:val="00DB3952"/>
    <w:rsid w:val="00DB39DE"/>
    <w:rsid w:val="00DB3D0B"/>
    <w:rsid w:val="00DB3D52"/>
    <w:rsid w:val="00DB3D7C"/>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D77CC"/>
    <w:rsid w:val="00DE007D"/>
    <w:rsid w:val="00DE0171"/>
    <w:rsid w:val="00DE0333"/>
    <w:rsid w:val="00DE0558"/>
    <w:rsid w:val="00DE067E"/>
    <w:rsid w:val="00DE088E"/>
    <w:rsid w:val="00DE128B"/>
    <w:rsid w:val="00DE1318"/>
    <w:rsid w:val="00DE1799"/>
    <w:rsid w:val="00DE2184"/>
    <w:rsid w:val="00DE21CF"/>
    <w:rsid w:val="00DE2243"/>
    <w:rsid w:val="00DE2335"/>
    <w:rsid w:val="00DE23F0"/>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4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CE6"/>
    <w:rsid w:val="00E07E45"/>
    <w:rsid w:val="00E1007C"/>
    <w:rsid w:val="00E101F9"/>
    <w:rsid w:val="00E102BD"/>
    <w:rsid w:val="00E1039D"/>
    <w:rsid w:val="00E103F8"/>
    <w:rsid w:val="00E10631"/>
    <w:rsid w:val="00E10C4C"/>
    <w:rsid w:val="00E10EFE"/>
    <w:rsid w:val="00E111F7"/>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6CC"/>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0F5"/>
    <w:rsid w:val="00E6014B"/>
    <w:rsid w:val="00E602C9"/>
    <w:rsid w:val="00E606CB"/>
    <w:rsid w:val="00E608B7"/>
    <w:rsid w:val="00E608E1"/>
    <w:rsid w:val="00E60AE0"/>
    <w:rsid w:val="00E60E12"/>
    <w:rsid w:val="00E60F80"/>
    <w:rsid w:val="00E6134E"/>
    <w:rsid w:val="00E613CE"/>
    <w:rsid w:val="00E617A8"/>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059"/>
    <w:rsid w:val="00E8412F"/>
    <w:rsid w:val="00E84661"/>
    <w:rsid w:val="00E847BF"/>
    <w:rsid w:val="00E84934"/>
    <w:rsid w:val="00E84A69"/>
    <w:rsid w:val="00E853AC"/>
    <w:rsid w:val="00E85483"/>
    <w:rsid w:val="00E8548B"/>
    <w:rsid w:val="00E85AED"/>
    <w:rsid w:val="00E85E7A"/>
    <w:rsid w:val="00E86057"/>
    <w:rsid w:val="00E861F7"/>
    <w:rsid w:val="00E86549"/>
    <w:rsid w:val="00E86647"/>
    <w:rsid w:val="00E86BF7"/>
    <w:rsid w:val="00E87096"/>
    <w:rsid w:val="00E87182"/>
    <w:rsid w:val="00E879F0"/>
    <w:rsid w:val="00E87AE6"/>
    <w:rsid w:val="00E87BC7"/>
    <w:rsid w:val="00E87D5A"/>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CFE"/>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2F98"/>
    <w:rsid w:val="00EA3002"/>
    <w:rsid w:val="00EA3641"/>
    <w:rsid w:val="00EA3D67"/>
    <w:rsid w:val="00EA3DB9"/>
    <w:rsid w:val="00EA3F57"/>
    <w:rsid w:val="00EA430C"/>
    <w:rsid w:val="00EA475F"/>
    <w:rsid w:val="00EA4A36"/>
    <w:rsid w:val="00EA5029"/>
    <w:rsid w:val="00EA5335"/>
    <w:rsid w:val="00EA5372"/>
    <w:rsid w:val="00EA626F"/>
    <w:rsid w:val="00EA630B"/>
    <w:rsid w:val="00EA6D78"/>
    <w:rsid w:val="00EA6E29"/>
    <w:rsid w:val="00EA74E8"/>
    <w:rsid w:val="00EA7721"/>
    <w:rsid w:val="00EA7B1C"/>
    <w:rsid w:val="00EA7CE6"/>
    <w:rsid w:val="00EA7E15"/>
    <w:rsid w:val="00EA7E9E"/>
    <w:rsid w:val="00EA7EF5"/>
    <w:rsid w:val="00EA7F1F"/>
    <w:rsid w:val="00EA7FAA"/>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579"/>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41"/>
    <w:rsid w:val="00EC0A5E"/>
    <w:rsid w:val="00EC183D"/>
    <w:rsid w:val="00EC1B4E"/>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A1E"/>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0FDA"/>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76B"/>
    <w:rsid w:val="00EF3845"/>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57A"/>
    <w:rsid w:val="00F10864"/>
    <w:rsid w:val="00F10BB6"/>
    <w:rsid w:val="00F1135C"/>
    <w:rsid w:val="00F1165E"/>
    <w:rsid w:val="00F11855"/>
    <w:rsid w:val="00F11CF5"/>
    <w:rsid w:val="00F12056"/>
    <w:rsid w:val="00F1281A"/>
    <w:rsid w:val="00F128CE"/>
    <w:rsid w:val="00F12B3D"/>
    <w:rsid w:val="00F13242"/>
    <w:rsid w:val="00F1344A"/>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63"/>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030"/>
    <w:rsid w:val="00F25157"/>
    <w:rsid w:val="00F25C01"/>
    <w:rsid w:val="00F25EB4"/>
    <w:rsid w:val="00F25F62"/>
    <w:rsid w:val="00F2617C"/>
    <w:rsid w:val="00F2643A"/>
    <w:rsid w:val="00F266A1"/>
    <w:rsid w:val="00F2683F"/>
    <w:rsid w:val="00F26886"/>
    <w:rsid w:val="00F2699C"/>
    <w:rsid w:val="00F26AE1"/>
    <w:rsid w:val="00F26EDA"/>
    <w:rsid w:val="00F27000"/>
    <w:rsid w:val="00F27809"/>
    <w:rsid w:val="00F27E0C"/>
    <w:rsid w:val="00F27F00"/>
    <w:rsid w:val="00F27FA9"/>
    <w:rsid w:val="00F3002F"/>
    <w:rsid w:val="00F30353"/>
    <w:rsid w:val="00F3075E"/>
    <w:rsid w:val="00F308C0"/>
    <w:rsid w:val="00F30D5D"/>
    <w:rsid w:val="00F317A1"/>
    <w:rsid w:val="00F318E7"/>
    <w:rsid w:val="00F31F17"/>
    <w:rsid w:val="00F3236F"/>
    <w:rsid w:val="00F32374"/>
    <w:rsid w:val="00F32DD1"/>
    <w:rsid w:val="00F32F0E"/>
    <w:rsid w:val="00F32F1E"/>
    <w:rsid w:val="00F32F22"/>
    <w:rsid w:val="00F32F3E"/>
    <w:rsid w:val="00F3333E"/>
    <w:rsid w:val="00F336F2"/>
    <w:rsid w:val="00F3383E"/>
    <w:rsid w:val="00F34286"/>
    <w:rsid w:val="00F342E5"/>
    <w:rsid w:val="00F34483"/>
    <w:rsid w:val="00F346BC"/>
    <w:rsid w:val="00F34B19"/>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234E"/>
    <w:rsid w:val="00F52756"/>
    <w:rsid w:val="00F527F0"/>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7E2"/>
    <w:rsid w:val="00F56D31"/>
    <w:rsid w:val="00F57183"/>
    <w:rsid w:val="00F5765A"/>
    <w:rsid w:val="00F57C72"/>
    <w:rsid w:val="00F57E51"/>
    <w:rsid w:val="00F6021A"/>
    <w:rsid w:val="00F6021F"/>
    <w:rsid w:val="00F60845"/>
    <w:rsid w:val="00F6101B"/>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5E5"/>
    <w:rsid w:val="00F727AA"/>
    <w:rsid w:val="00F729F2"/>
    <w:rsid w:val="00F72C94"/>
    <w:rsid w:val="00F731A2"/>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223"/>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3A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0F0"/>
    <w:rsid w:val="00FB15D5"/>
    <w:rsid w:val="00FB18E8"/>
    <w:rsid w:val="00FB19D8"/>
    <w:rsid w:val="00FB1F61"/>
    <w:rsid w:val="00FB22E5"/>
    <w:rsid w:val="00FB2663"/>
    <w:rsid w:val="00FB2864"/>
    <w:rsid w:val="00FB2F94"/>
    <w:rsid w:val="00FB313A"/>
    <w:rsid w:val="00FB3635"/>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29"/>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0B92"/>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2E7"/>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8E6"/>
    <w:rsid w:val="00FE7A09"/>
    <w:rsid w:val="00FE7FE6"/>
    <w:rsid w:val="00FF01C5"/>
    <w:rsid w:val="00FF0224"/>
    <w:rsid w:val="00FF0289"/>
    <w:rsid w:val="00FF02D6"/>
    <w:rsid w:val="00FF0679"/>
    <w:rsid w:val="00FF0895"/>
    <w:rsid w:val="00FF0BBB"/>
    <w:rsid w:val="00FF1455"/>
    <w:rsid w:val="00FF1716"/>
    <w:rsid w:val="00FF1858"/>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01"/>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link w:val="TAHCar"/>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character" w:customStyle="1" w:styleId="TAHCar">
    <w:name w:val="TAH Car"/>
    <w:link w:val="TAH"/>
    <w:rsid w:val="000B25F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135269">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8757895">
      <w:bodyDiv w:val="1"/>
      <w:marLeft w:val="0"/>
      <w:marRight w:val="0"/>
      <w:marTop w:val="0"/>
      <w:marBottom w:val="0"/>
      <w:divBdr>
        <w:top w:val="none" w:sz="0" w:space="0" w:color="auto"/>
        <w:left w:val="none" w:sz="0" w:space="0" w:color="auto"/>
        <w:bottom w:val="none" w:sz="0" w:space="0" w:color="auto"/>
        <w:right w:val="none" w:sz="0" w:space="0" w:color="auto"/>
      </w:divBdr>
      <w:divsChild>
        <w:div w:id="1287002776">
          <w:marLeft w:val="547"/>
          <w:marRight w:val="0"/>
          <w:marTop w:val="115"/>
          <w:marBottom w:val="0"/>
          <w:divBdr>
            <w:top w:val="none" w:sz="0" w:space="0" w:color="auto"/>
            <w:left w:val="none" w:sz="0" w:space="0" w:color="auto"/>
            <w:bottom w:val="none" w:sz="0" w:space="0" w:color="auto"/>
            <w:right w:val="none" w:sz="0" w:space="0" w:color="auto"/>
          </w:divBdr>
        </w:div>
        <w:div w:id="185295084">
          <w:marLeft w:val="547"/>
          <w:marRight w:val="0"/>
          <w:marTop w:val="115"/>
          <w:marBottom w:val="0"/>
          <w:divBdr>
            <w:top w:val="none" w:sz="0" w:space="0" w:color="auto"/>
            <w:left w:val="none" w:sz="0" w:space="0" w:color="auto"/>
            <w:bottom w:val="none" w:sz="0" w:space="0" w:color="auto"/>
            <w:right w:val="none" w:sz="0" w:space="0" w:color="auto"/>
          </w:divBdr>
        </w:div>
        <w:div w:id="1345790875">
          <w:marLeft w:val="1166"/>
          <w:marRight w:val="0"/>
          <w:marTop w:val="96"/>
          <w:marBottom w:val="0"/>
          <w:divBdr>
            <w:top w:val="none" w:sz="0" w:space="0" w:color="auto"/>
            <w:left w:val="none" w:sz="0" w:space="0" w:color="auto"/>
            <w:bottom w:val="none" w:sz="0" w:space="0" w:color="auto"/>
            <w:right w:val="none" w:sz="0" w:space="0" w:color="auto"/>
          </w:divBdr>
        </w:div>
        <w:div w:id="1721398812">
          <w:marLeft w:val="1166"/>
          <w:marRight w:val="0"/>
          <w:marTop w:val="96"/>
          <w:marBottom w:val="0"/>
          <w:divBdr>
            <w:top w:val="none" w:sz="0" w:space="0" w:color="auto"/>
            <w:left w:val="none" w:sz="0" w:space="0" w:color="auto"/>
            <w:bottom w:val="none" w:sz="0" w:space="0" w:color="auto"/>
            <w:right w:val="none" w:sz="0" w:space="0" w:color="auto"/>
          </w:divBdr>
        </w:div>
        <w:div w:id="666860966">
          <w:marLeft w:val="1166"/>
          <w:marRight w:val="0"/>
          <w:marTop w:val="96"/>
          <w:marBottom w:val="0"/>
          <w:divBdr>
            <w:top w:val="none" w:sz="0" w:space="0" w:color="auto"/>
            <w:left w:val="none" w:sz="0" w:space="0" w:color="auto"/>
            <w:bottom w:val="none" w:sz="0" w:space="0" w:color="auto"/>
            <w:right w:val="none" w:sz="0" w:space="0" w:color="auto"/>
          </w:divBdr>
        </w:div>
        <w:div w:id="108745966">
          <w:marLeft w:val="1166"/>
          <w:marRight w:val="0"/>
          <w:marTop w:val="96"/>
          <w:marBottom w:val="0"/>
          <w:divBdr>
            <w:top w:val="none" w:sz="0" w:space="0" w:color="auto"/>
            <w:left w:val="none" w:sz="0" w:space="0" w:color="auto"/>
            <w:bottom w:val="none" w:sz="0" w:space="0" w:color="auto"/>
            <w:right w:val="none" w:sz="0" w:space="0" w:color="auto"/>
          </w:divBdr>
        </w:div>
        <w:div w:id="314531830">
          <w:marLeft w:val="1166"/>
          <w:marRight w:val="0"/>
          <w:marTop w:val="96"/>
          <w:marBottom w:val="0"/>
          <w:divBdr>
            <w:top w:val="none" w:sz="0" w:space="0" w:color="auto"/>
            <w:left w:val="none" w:sz="0" w:space="0" w:color="auto"/>
            <w:bottom w:val="none" w:sz="0" w:space="0" w:color="auto"/>
            <w:right w:val="none" w:sz="0" w:space="0" w:color="auto"/>
          </w:divBdr>
        </w:div>
        <w:div w:id="2013528600">
          <w:marLeft w:val="1627"/>
          <w:marRight w:val="0"/>
          <w:marTop w:val="86"/>
          <w:marBottom w:val="0"/>
          <w:divBdr>
            <w:top w:val="none" w:sz="0" w:space="0" w:color="auto"/>
            <w:left w:val="none" w:sz="0" w:space="0" w:color="auto"/>
            <w:bottom w:val="none" w:sz="0" w:space="0" w:color="auto"/>
            <w:right w:val="none" w:sz="0" w:space="0" w:color="auto"/>
          </w:divBdr>
        </w:div>
        <w:div w:id="1553732757">
          <w:marLeft w:val="2074"/>
          <w:marRight w:val="0"/>
          <w:marTop w:val="77"/>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28074685">
      <w:bodyDiv w:val="1"/>
      <w:marLeft w:val="0"/>
      <w:marRight w:val="0"/>
      <w:marTop w:val="0"/>
      <w:marBottom w:val="0"/>
      <w:divBdr>
        <w:top w:val="none" w:sz="0" w:space="0" w:color="auto"/>
        <w:left w:val="none" w:sz="0" w:space="0" w:color="auto"/>
        <w:bottom w:val="none" w:sz="0" w:space="0" w:color="auto"/>
        <w:right w:val="none" w:sz="0" w:space="0" w:color="auto"/>
      </w:divBdr>
      <w:divsChild>
        <w:div w:id="767972129">
          <w:marLeft w:val="547"/>
          <w:marRight w:val="0"/>
          <w:marTop w:val="96"/>
          <w:marBottom w:val="0"/>
          <w:divBdr>
            <w:top w:val="none" w:sz="0" w:space="0" w:color="auto"/>
            <w:left w:val="none" w:sz="0" w:space="0" w:color="auto"/>
            <w:bottom w:val="none" w:sz="0" w:space="0" w:color="auto"/>
            <w:right w:val="none" w:sz="0" w:space="0" w:color="auto"/>
          </w:divBdr>
        </w:div>
        <w:div w:id="865212729">
          <w:marLeft w:val="1166"/>
          <w:marRight w:val="0"/>
          <w:marTop w:val="96"/>
          <w:marBottom w:val="0"/>
          <w:divBdr>
            <w:top w:val="none" w:sz="0" w:space="0" w:color="auto"/>
            <w:left w:val="none" w:sz="0" w:space="0" w:color="auto"/>
            <w:bottom w:val="none" w:sz="0" w:space="0" w:color="auto"/>
            <w:right w:val="none" w:sz="0" w:space="0" w:color="auto"/>
          </w:divBdr>
        </w:div>
        <w:div w:id="1326282087">
          <w:marLeft w:val="1166"/>
          <w:marRight w:val="0"/>
          <w:marTop w:val="96"/>
          <w:marBottom w:val="0"/>
          <w:divBdr>
            <w:top w:val="none" w:sz="0" w:space="0" w:color="auto"/>
            <w:left w:val="none" w:sz="0" w:space="0" w:color="auto"/>
            <w:bottom w:val="none" w:sz="0" w:space="0" w:color="auto"/>
            <w:right w:val="none" w:sz="0" w:space="0" w:color="auto"/>
          </w:divBdr>
        </w:div>
        <w:div w:id="2122796727">
          <w:marLeft w:val="1166"/>
          <w:marRight w:val="0"/>
          <w:marTop w:val="96"/>
          <w:marBottom w:val="0"/>
          <w:divBdr>
            <w:top w:val="none" w:sz="0" w:space="0" w:color="auto"/>
            <w:left w:val="none" w:sz="0" w:space="0" w:color="auto"/>
            <w:bottom w:val="none" w:sz="0" w:space="0" w:color="auto"/>
            <w:right w:val="none" w:sz="0" w:space="0" w:color="auto"/>
          </w:divBdr>
        </w:div>
        <w:div w:id="576790019">
          <w:marLeft w:val="547"/>
          <w:marRight w:val="0"/>
          <w:marTop w:val="96"/>
          <w:marBottom w:val="0"/>
          <w:divBdr>
            <w:top w:val="none" w:sz="0" w:space="0" w:color="auto"/>
            <w:left w:val="none" w:sz="0" w:space="0" w:color="auto"/>
            <w:bottom w:val="none" w:sz="0" w:space="0" w:color="auto"/>
            <w:right w:val="none" w:sz="0" w:space="0" w:color="auto"/>
          </w:divBdr>
        </w:div>
        <w:div w:id="170821896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51993">
      <w:bodyDiv w:val="1"/>
      <w:marLeft w:val="0"/>
      <w:marRight w:val="0"/>
      <w:marTop w:val="0"/>
      <w:marBottom w:val="0"/>
      <w:divBdr>
        <w:top w:val="none" w:sz="0" w:space="0" w:color="auto"/>
        <w:left w:val="none" w:sz="0" w:space="0" w:color="auto"/>
        <w:bottom w:val="none" w:sz="0" w:space="0" w:color="auto"/>
        <w:right w:val="none" w:sz="0" w:space="0" w:color="auto"/>
      </w:divBdr>
    </w:div>
    <w:div w:id="973219580">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6235">
      <w:bodyDiv w:val="1"/>
      <w:marLeft w:val="0"/>
      <w:marRight w:val="0"/>
      <w:marTop w:val="0"/>
      <w:marBottom w:val="0"/>
      <w:divBdr>
        <w:top w:val="none" w:sz="0" w:space="0" w:color="auto"/>
        <w:left w:val="none" w:sz="0" w:space="0" w:color="auto"/>
        <w:bottom w:val="none" w:sz="0" w:space="0" w:color="auto"/>
        <w:right w:val="none" w:sz="0" w:space="0" w:color="auto"/>
      </w:divBdr>
      <w:divsChild>
        <w:div w:id="1262378402">
          <w:marLeft w:val="1166"/>
          <w:marRight w:val="0"/>
          <w:marTop w:val="96"/>
          <w:marBottom w:val="0"/>
          <w:divBdr>
            <w:top w:val="none" w:sz="0" w:space="0" w:color="auto"/>
            <w:left w:val="none" w:sz="0" w:space="0" w:color="auto"/>
            <w:bottom w:val="none" w:sz="0" w:space="0" w:color="auto"/>
            <w:right w:val="none" w:sz="0" w:space="0" w:color="auto"/>
          </w:divBdr>
        </w:div>
        <w:div w:id="586377905">
          <w:marLeft w:val="1166"/>
          <w:marRight w:val="0"/>
          <w:marTop w:val="96"/>
          <w:marBottom w:val="0"/>
          <w:divBdr>
            <w:top w:val="none" w:sz="0" w:space="0" w:color="auto"/>
            <w:left w:val="none" w:sz="0" w:space="0" w:color="auto"/>
            <w:bottom w:val="none" w:sz="0" w:space="0" w:color="auto"/>
            <w:right w:val="none" w:sz="0" w:space="0" w:color="auto"/>
          </w:divBdr>
        </w:div>
        <w:div w:id="949357126">
          <w:marLeft w:val="1166"/>
          <w:marRight w:val="0"/>
          <w:marTop w:val="96"/>
          <w:marBottom w:val="0"/>
          <w:divBdr>
            <w:top w:val="none" w:sz="0" w:space="0" w:color="auto"/>
            <w:left w:val="none" w:sz="0" w:space="0" w:color="auto"/>
            <w:bottom w:val="none" w:sz="0" w:space="0" w:color="auto"/>
            <w:right w:val="none" w:sz="0" w:space="0" w:color="auto"/>
          </w:divBdr>
        </w:div>
        <w:div w:id="390662787">
          <w:marLeft w:val="1166"/>
          <w:marRight w:val="0"/>
          <w:marTop w:val="96"/>
          <w:marBottom w:val="0"/>
          <w:divBdr>
            <w:top w:val="none" w:sz="0" w:space="0" w:color="auto"/>
            <w:left w:val="none" w:sz="0" w:space="0" w:color="auto"/>
            <w:bottom w:val="none" w:sz="0" w:space="0" w:color="auto"/>
            <w:right w:val="none" w:sz="0" w:space="0" w:color="auto"/>
          </w:divBdr>
        </w:div>
        <w:div w:id="388115521">
          <w:marLeft w:val="1166"/>
          <w:marRight w:val="0"/>
          <w:marTop w:val="96"/>
          <w:marBottom w:val="0"/>
          <w:divBdr>
            <w:top w:val="none" w:sz="0" w:space="0" w:color="auto"/>
            <w:left w:val="none" w:sz="0" w:space="0" w:color="auto"/>
            <w:bottom w:val="none" w:sz="0" w:space="0" w:color="auto"/>
            <w:right w:val="none" w:sz="0" w:space="0" w:color="auto"/>
          </w:divBdr>
        </w:div>
        <w:div w:id="1550458935">
          <w:marLeft w:val="547"/>
          <w:marRight w:val="0"/>
          <w:marTop w:val="115"/>
          <w:marBottom w:val="0"/>
          <w:divBdr>
            <w:top w:val="none" w:sz="0" w:space="0" w:color="auto"/>
            <w:left w:val="none" w:sz="0" w:space="0" w:color="auto"/>
            <w:bottom w:val="none" w:sz="0" w:space="0" w:color="auto"/>
            <w:right w:val="none" w:sz="0" w:space="0" w:color="auto"/>
          </w:divBdr>
        </w:div>
        <w:div w:id="994408154">
          <w:marLeft w:val="547"/>
          <w:marRight w:val="0"/>
          <w:marTop w:val="115"/>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265858">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354423">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3206055">
      <w:bodyDiv w:val="1"/>
      <w:marLeft w:val="0"/>
      <w:marRight w:val="0"/>
      <w:marTop w:val="0"/>
      <w:marBottom w:val="0"/>
      <w:divBdr>
        <w:top w:val="none" w:sz="0" w:space="0" w:color="auto"/>
        <w:left w:val="none" w:sz="0" w:space="0" w:color="auto"/>
        <w:bottom w:val="none" w:sz="0" w:space="0" w:color="auto"/>
        <w:right w:val="none" w:sz="0" w:space="0" w:color="auto"/>
      </w:divBdr>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70559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005447">
      <w:bodyDiv w:val="1"/>
      <w:marLeft w:val="0"/>
      <w:marRight w:val="0"/>
      <w:marTop w:val="0"/>
      <w:marBottom w:val="0"/>
      <w:divBdr>
        <w:top w:val="none" w:sz="0" w:space="0" w:color="auto"/>
        <w:left w:val="none" w:sz="0" w:space="0" w:color="auto"/>
        <w:bottom w:val="none" w:sz="0" w:space="0" w:color="auto"/>
        <w:right w:val="none" w:sz="0" w:space="0" w:color="auto"/>
      </w:divBdr>
      <w:divsChild>
        <w:div w:id="1960067976">
          <w:marLeft w:val="547"/>
          <w:marRight w:val="0"/>
          <w:marTop w:val="115"/>
          <w:marBottom w:val="0"/>
          <w:divBdr>
            <w:top w:val="none" w:sz="0" w:space="0" w:color="auto"/>
            <w:left w:val="none" w:sz="0" w:space="0" w:color="auto"/>
            <w:bottom w:val="none" w:sz="0" w:space="0" w:color="auto"/>
            <w:right w:val="none" w:sz="0" w:space="0" w:color="auto"/>
          </w:divBdr>
        </w:div>
        <w:div w:id="828911683">
          <w:marLeft w:val="1166"/>
          <w:marRight w:val="0"/>
          <w:marTop w:val="96"/>
          <w:marBottom w:val="0"/>
          <w:divBdr>
            <w:top w:val="none" w:sz="0" w:space="0" w:color="auto"/>
            <w:left w:val="none" w:sz="0" w:space="0" w:color="auto"/>
            <w:bottom w:val="none" w:sz="0" w:space="0" w:color="auto"/>
            <w:right w:val="none" w:sz="0" w:space="0" w:color="auto"/>
          </w:divBdr>
        </w:div>
        <w:div w:id="55202390">
          <w:marLeft w:val="1627"/>
          <w:marRight w:val="0"/>
          <w:marTop w:val="86"/>
          <w:marBottom w:val="0"/>
          <w:divBdr>
            <w:top w:val="none" w:sz="0" w:space="0" w:color="auto"/>
            <w:left w:val="none" w:sz="0" w:space="0" w:color="auto"/>
            <w:bottom w:val="none" w:sz="0" w:space="0" w:color="auto"/>
            <w:right w:val="none" w:sz="0" w:space="0" w:color="auto"/>
          </w:divBdr>
        </w:div>
        <w:div w:id="3214438">
          <w:marLeft w:val="2074"/>
          <w:marRight w:val="0"/>
          <w:marTop w:val="77"/>
          <w:marBottom w:val="0"/>
          <w:divBdr>
            <w:top w:val="none" w:sz="0" w:space="0" w:color="auto"/>
            <w:left w:val="none" w:sz="0" w:space="0" w:color="auto"/>
            <w:bottom w:val="none" w:sz="0" w:space="0" w:color="auto"/>
            <w:right w:val="none" w:sz="0" w:space="0" w:color="auto"/>
          </w:divBdr>
        </w:div>
        <w:div w:id="730271625">
          <w:marLeft w:val="1627"/>
          <w:marRight w:val="0"/>
          <w:marTop w:val="86"/>
          <w:marBottom w:val="0"/>
          <w:divBdr>
            <w:top w:val="none" w:sz="0" w:space="0" w:color="auto"/>
            <w:left w:val="none" w:sz="0" w:space="0" w:color="auto"/>
            <w:bottom w:val="none" w:sz="0" w:space="0" w:color="auto"/>
            <w:right w:val="none" w:sz="0" w:space="0" w:color="auto"/>
          </w:divBdr>
        </w:div>
        <w:div w:id="680593042">
          <w:marLeft w:val="2074"/>
          <w:marRight w:val="0"/>
          <w:marTop w:val="77"/>
          <w:marBottom w:val="0"/>
          <w:divBdr>
            <w:top w:val="none" w:sz="0" w:space="0" w:color="auto"/>
            <w:left w:val="none" w:sz="0" w:space="0" w:color="auto"/>
            <w:bottom w:val="none" w:sz="0" w:space="0" w:color="auto"/>
            <w:right w:val="none" w:sz="0" w:space="0" w:color="auto"/>
          </w:divBdr>
        </w:div>
        <w:div w:id="929848653">
          <w:marLeft w:val="2074"/>
          <w:marRight w:val="0"/>
          <w:marTop w:val="77"/>
          <w:marBottom w:val="0"/>
          <w:divBdr>
            <w:top w:val="none" w:sz="0" w:space="0" w:color="auto"/>
            <w:left w:val="none" w:sz="0" w:space="0" w:color="auto"/>
            <w:bottom w:val="none" w:sz="0" w:space="0" w:color="auto"/>
            <w:right w:val="none" w:sz="0" w:space="0" w:color="auto"/>
          </w:divBdr>
        </w:div>
        <w:div w:id="1431315214">
          <w:marLeft w:val="2074"/>
          <w:marRight w:val="0"/>
          <w:marTop w:val="7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115527">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69837766">
      <w:bodyDiv w:val="1"/>
      <w:marLeft w:val="0"/>
      <w:marRight w:val="0"/>
      <w:marTop w:val="0"/>
      <w:marBottom w:val="0"/>
      <w:divBdr>
        <w:top w:val="none" w:sz="0" w:space="0" w:color="auto"/>
        <w:left w:val="none" w:sz="0" w:space="0" w:color="auto"/>
        <w:bottom w:val="none" w:sz="0" w:space="0" w:color="auto"/>
        <w:right w:val="none" w:sz="0" w:space="0" w:color="auto"/>
      </w:divBdr>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HR33RHYHUWRF-4-13410</_dlc_DocId>
    <_dlc_DocIdUrl xmlns="c06861ca-3f08-4d07-bff7-bb15bac121f4">
      <Url>https://projects.qualcomm.com/sites/pentari/_layouts/15/DocIdRedir.aspx?ID=HR33RHYHUWRF-4-13410</Url>
      <Description>HR33RHYHUWRF-4-13410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1B99FFA-5D63-42F6-AB8A-BDF4AA84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5</TotalTime>
  <Pages>10</Pages>
  <Words>4430</Words>
  <Characters>25256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4</cp:revision>
  <cp:lastPrinted>2014-11-07T05:38:00Z</cp:lastPrinted>
  <dcterms:created xsi:type="dcterms:W3CDTF">2019-05-04T04:07:00Z</dcterms:created>
  <dcterms:modified xsi:type="dcterms:W3CDTF">2019-05-04T04:12:00Z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05287298-f63c-4b3a-91e8-aa7c37365351</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